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A39C3" w14:textId="5C4F0267" w:rsidR="00BC1CF7" w:rsidRDefault="00383B66" w:rsidP="00383B66">
      <w:pPr>
        <w:pStyle w:val="ListParagraph"/>
        <w:numPr>
          <w:ilvl w:val="0"/>
          <w:numId w:val="1"/>
        </w:numPr>
        <w:jc w:val="both"/>
      </w:pPr>
      <w:r>
        <w:t>Leukotriene modifiers are medicines used to manage allergic rhinitis or allergy and asthma. They are also known as antileukotriene or leukotriene antagonist.</w:t>
      </w:r>
    </w:p>
    <w:p w14:paraId="5E1C1277" w14:textId="6C8E340F" w:rsidR="0034590B" w:rsidRDefault="0034590B" w:rsidP="00383B66">
      <w:pPr>
        <w:pStyle w:val="ListParagraph"/>
        <w:numPr>
          <w:ilvl w:val="0"/>
          <w:numId w:val="1"/>
        </w:numPr>
        <w:jc w:val="both"/>
      </w:pPr>
      <w:r>
        <w:t>They entered clinical practice in 1996-1997 in several countries including Japan, United states and Britain.</w:t>
      </w:r>
    </w:p>
    <w:p w14:paraId="0A28B8C2" w14:textId="18F3DCCE" w:rsidR="00AA621E" w:rsidRDefault="00AA621E" w:rsidP="00AA621E">
      <w:pPr>
        <w:jc w:val="both"/>
        <w:rPr>
          <w:b/>
          <w:bCs/>
        </w:rPr>
      </w:pPr>
      <w:r w:rsidRPr="00AA621E">
        <w:rPr>
          <w:b/>
          <w:bCs/>
        </w:rPr>
        <w:t>Leukotrienes</w:t>
      </w:r>
    </w:p>
    <w:p w14:paraId="5E6A8BB9" w14:textId="3FB5E5C6" w:rsidR="00533337" w:rsidRDefault="00533337" w:rsidP="00AA621E">
      <w:pPr>
        <w:jc w:val="both"/>
        <w:rPr>
          <w:b/>
          <w:bCs/>
        </w:rPr>
      </w:pPr>
      <w:r>
        <w:rPr>
          <w:b/>
          <w:bCs/>
          <w:noProof/>
        </w:rPr>
        <w:drawing>
          <wp:inline distT="0" distB="0" distL="0" distR="0" wp14:anchorId="0B3C4776" wp14:editId="57A3BDD1">
            <wp:extent cx="5943600" cy="5827395"/>
            <wp:effectExtent l="0" t="0" r="0" b="190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t syntheis.png"/>
                    <pic:cNvPicPr/>
                  </pic:nvPicPr>
                  <pic:blipFill>
                    <a:blip r:embed="rId5">
                      <a:extLst>
                        <a:ext uri="{28A0092B-C50C-407E-A947-70E740481C1C}">
                          <a14:useLocalDpi xmlns:a14="http://schemas.microsoft.com/office/drawing/2010/main" val="0"/>
                        </a:ext>
                      </a:extLst>
                    </a:blip>
                    <a:stretch>
                      <a:fillRect/>
                    </a:stretch>
                  </pic:blipFill>
                  <pic:spPr>
                    <a:xfrm>
                      <a:off x="0" y="0"/>
                      <a:ext cx="5943600" cy="5827395"/>
                    </a:xfrm>
                    <a:prstGeom prst="rect">
                      <a:avLst/>
                    </a:prstGeom>
                  </pic:spPr>
                </pic:pic>
              </a:graphicData>
            </a:graphic>
          </wp:inline>
        </w:drawing>
      </w:r>
    </w:p>
    <w:p w14:paraId="403CB785" w14:textId="50A5F0C9" w:rsidR="00533337" w:rsidRPr="00533337" w:rsidRDefault="00533337" w:rsidP="00AA621E">
      <w:pPr>
        <w:jc w:val="both"/>
      </w:pPr>
      <w:r>
        <w:t>Figure 1- Synthesis of leukotrienes</w:t>
      </w:r>
      <w:bookmarkStart w:id="0" w:name="_GoBack"/>
      <w:bookmarkEnd w:id="0"/>
    </w:p>
    <w:p w14:paraId="376662BB" w14:textId="0A1DCC4B" w:rsidR="00383B66" w:rsidRDefault="00383B66" w:rsidP="00AA621E">
      <w:pPr>
        <w:pStyle w:val="ListParagraph"/>
        <w:numPr>
          <w:ilvl w:val="0"/>
          <w:numId w:val="1"/>
        </w:numPr>
        <w:jc w:val="both"/>
      </w:pPr>
      <w:r>
        <w:t xml:space="preserve">Leukotrienes (LT) are fatty acid derived mediators containing a conjugated triene structure. </w:t>
      </w:r>
    </w:p>
    <w:p w14:paraId="343311D1" w14:textId="147BD657" w:rsidR="00383B66" w:rsidRDefault="00383B66" w:rsidP="00383B66">
      <w:pPr>
        <w:pStyle w:val="ListParagraph"/>
        <w:numPr>
          <w:ilvl w:val="0"/>
          <w:numId w:val="1"/>
        </w:numPr>
        <w:jc w:val="both"/>
      </w:pPr>
      <w:r>
        <w:t>Arachidonic acid is liberated from cell membrane as a result of cell activation due to allergy or noxious stimuli. The enzyme 5’ lipoxygenase is required for synthesis of LTA</w:t>
      </w:r>
      <w:r>
        <w:rPr>
          <w:vertAlign w:val="subscript"/>
        </w:rPr>
        <w:t>4</w:t>
      </w:r>
      <w:r>
        <w:t xml:space="preserve"> from arachidonic </w:t>
      </w:r>
      <w:r>
        <w:lastRenderedPageBreak/>
        <w:t>acid. LTA</w:t>
      </w:r>
      <w:r>
        <w:rPr>
          <w:vertAlign w:val="subscript"/>
        </w:rPr>
        <w:t>4</w:t>
      </w:r>
      <w:r>
        <w:t xml:space="preserve"> is unstable epoxide and acts as precursor for 2 subgroups of biologically important leukotrienes- LTB</w:t>
      </w:r>
      <w:r>
        <w:rPr>
          <w:vertAlign w:val="subscript"/>
        </w:rPr>
        <w:t>4</w:t>
      </w:r>
      <w:r>
        <w:t xml:space="preserve"> and cysteinyl leukotrienes.</w:t>
      </w:r>
    </w:p>
    <w:p w14:paraId="6DDA8917" w14:textId="09383A93" w:rsidR="00383B66" w:rsidRDefault="00AA621E" w:rsidP="00383B66">
      <w:pPr>
        <w:pStyle w:val="ListParagraph"/>
        <w:numPr>
          <w:ilvl w:val="0"/>
          <w:numId w:val="1"/>
        </w:numPr>
        <w:jc w:val="both"/>
      </w:pPr>
      <w:r>
        <w:t>LTB</w:t>
      </w:r>
      <w:r>
        <w:rPr>
          <w:vertAlign w:val="subscript"/>
        </w:rPr>
        <w:t>4</w:t>
      </w:r>
      <w:r>
        <w:t xml:space="preserve"> is potent chemoattractant for neutrophils and eosinophils. Cysteinyl leukotrienes (LTC</w:t>
      </w:r>
      <w:r>
        <w:rPr>
          <w:vertAlign w:val="subscript"/>
        </w:rPr>
        <w:t>4</w:t>
      </w:r>
      <w:r>
        <w:t>, LTD</w:t>
      </w:r>
      <w:r>
        <w:rPr>
          <w:vertAlign w:val="subscript"/>
        </w:rPr>
        <w:t xml:space="preserve">4 </w:t>
      </w:r>
      <w:r>
        <w:t>and LTE</w:t>
      </w:r>
      <w:r>
        <w:rPr>
          <w:vertAlign w:val="subscript"/>
        </w:rPr>
        <w:t>4</w:t>
      </w:r>
      <w:r>
        <w:t>) cause constriction of bronchial smooth muscle, promote mucus secretion</w:t>
      </w:r>
      <w:r w:rsidR="00FA2759">
        <w:t xml:space="preserve"> and mucosal edema, increase bronchial hyperresponsiveness</w:t>
      </w:r>
      <w:r>
        <w:t xml:space="preserve"> and increase endothelial permeability. </w:t>
      </w:r>
    </w:p>
    <w:p w14:paraId="5341BF6C" w14:textId="7B5082D1" w:rsidR="00AA621E" w:rsidRDefault="00AA621E" w:rsidP="00383B66">
      <w:pPr>
        <w:pStyle w:val="ListParagraph"/>
        <w:numPr>
          <w:ilvl w:val="0"/>
          <w:numId w:val="1"/>
        </w:numPr>
        <w:jc w:val="both"/>
      </w:pPr>
      <w:r>
        <w:t>They play important role in pathophysiology of asthma.</w:t>
      </w:r>
    </w:p>
    <w:p w14:paraId="5AB790EC" w14:textId="48DAD90C" w:rsidR="00AA621E" w:rsidRDefault="00AA621E" w:rsidP="00AA621E">
      <w:pPr>
        <w:jc w:val="both"/>
        <w:rPr>
          <w:b/>
          <w:bCs/>
        </w:rPr>
      </w:pPr>
      <w:r w:rsidRPr="00AA621E">
        <w:rPr>
          <w:b/>
          <w:bCs/>
        </w:rPr>
        <w:t>Types of leukotriene modifiers</w:t>
      </w:r>
    </w:p>
    <w:p w14:paraId="0EC57283" w14:textId="74755527" w:rsidR="00AA621E" w:rsidRDefault="00AA621E" w:rsidP="00AA621E">
      <w:pPr>
        <w:pStyle w:val="ListParagraph"/>
        <w:numPr>
          <w:ilvl w:val="0"/>
          <w:numId w:val="2"/>
        </w:numPr>
        <w:jc w:val="both"/>
      </w:pPr>
      <w:r>
        <w:t>Leukotriene modifiers can be divided into 2 types based on their mechanism of action.</w:t>
      </w:r>
    </w:p>
    <w:p w14:paraId="5450AF2E" w14:textId="7DA7D465" w:rsidR="00533337" w:rsidRDefault="00533337" w:rsidP="00533337">
      <w:pPr>
        <w:jc w:val="both"/>
      </w:pPr>
      <w:r>
        <w:rPr>
          <w:noProof/>
        </w:rPr>
        <w:drawing>
          <wp:inline distT="0" distB="0" distL="0" distR="0" wp14:anchorId="5DF41996" wp14:editId="6BDC4DF6">
            <wp:extent cx="5295900" cy="3891643"/>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a of LT antagonist.PNG"/>
                    <pic:cNvPicPr/>
                  </pic:nvPicPr>
                  <pic:blipFill>
                    <a:blip r:embed="rId6">
                      <a:extLst>
                        <a:ext uri="{28A0092B-C50C-407E-A947-70E740481C1C}">
                          <a14:useLocalDpi xmlns:a14="http://schemas.microsoft.com/office/drawing/2010/main" val="0"/>
                        </a:ext>
                      </a:extLst>
                    </a:blip>
                    <a:stretch>
                      <a:fillRect/>
                    </a:stretch>
                  </pic:blipFill>
                  <pic:spPr>
                    <a:xfrm>
                      <a:off x="0" y="0"/>
                      <a:ext cx="5303692" cy="3897369"/>
                    </a:xfrm>
                    <a:prstGeom prst="rect">
                      <a:avLst/>
                    </a:prstGeom>
                  </pic:spPr>
                </pic:pic>
              </a:graphicData>
            </a:graphic>
          </wp:inline>
        </w:drawing>
      </w:r>
    </w:p>
    <w:p w14:paraId="2A8C149D" w14:textId="57094048" w:rsidR="00533337" w:rsidRDefault="00533337" w:rsidP="00533337">
      <w:pPr>
        <w:jc w:val="both"/>
      </w:pPr>
      <w:r>
        <w:t>Figure – Mechanism of action of different leukotriene modifiers</w:t>
      </w:r>
    </w:p>
    <w:p w14:paraId="5D33FD25" w14:textId="0C2E69A5" w:rsidR="00AA621E" w:rsidRDefault="00AA621E" w:rsidP="00AA621E">
      <w:pPr>
        <w:jc w:val="both"/>
      </w:pPr>
      <w:r w:rsidRPr="00AA621E">
        <w:rPr>
          <w:b/>
          <w:bCs/>
        </w:rPr>
        <w:t>Leukotriene synthesis inhibitor</w:t>
      </w:r>
      <w:r>
        <w:t xml:space="preserve">: </w:t>
      </w:r>
    </w:p>
    <w:p w14:paraId="6B979D81" w14:textId="08383545" w:rsidR="00AA621E" w:rsidRDefault="00AA621E" w:rsidP="00AA621E">
      <w:pPr>
        <w:pStyle w:val="ListParagraph"/>
        <w:numPr>
          <w:ilvl w:val="0"/>
          <w:numId w:val="2"/>
        </w:numPr>
        <w:jc w:val="both"/>
      </w:pPr>
      <w:r w:rsidRPr="002A6894">
        <w:rPr>
          <w:b/>
          <w:bCs/>
        </w:rPr>
        <w:t>Zileuton</w:t>
      </w:r>
      <w:r>
        <w:t xml:space="preserve"> is </w:t>
      </w:r>
      <w:r w:rsidR="0034590B">
        <w:t xml:space="preserve">an </w:t>
      </w:r>
      <w:r>
        <w:t>example of leukotriene synthesis inhibitor.</w:t>
      </w:r>
    </w:p>
    <w:p w14:paraId="2442D9C3" w14:textId="479F7AF3" w:rsidR="00AA621E" w:rsidRDefault="00AA621E" w:rsidP="00AA621E">
      <w:pPr>
        <w:pStyle w:val="ListParagraph"/>
        <w:numPr>
          <w:ilvl w:val="0"/>
          <w:numId w:val="2"/>
        </w:numPr>
        <w:jc w:val="both"/>
      </w:pPr>
      <w:r>
        <w:t xml:space="preserve">It acts by potent and selective inhibition of </w:t>
      </w:r>
      <w:r w:rsidR="0034590B">
        <w:t>5-lipooxygenase enzyme and hence, inhibits formation of both LTB</w:t>
      </w:r>
      <w:r w:rsidR="0034590B">
        <w:rPr>
          <w:vertAlign w:val="subscript"/>
        </w:rPr>
        <w:t xml:space="preserve">4 </w:t>
      </w:r>
      <w:r w:rsidR="0034590B">
        <w:t xml:space="preserve">and cysteinyl leukotrienes. </w:t>
      </w:r>
    </w:p>
    <w:p w14:paraId="4C3C8AE0" w14:textId="633F2DC4" w:rsidR="0034590B" w:rsidRDefault="0034590B" w:rsidP="0034590B">
      <w:pPr>
        <w:jc w:val="both"/>
        <w:rPr>
          <w:b/>
          <w:bCs/>
        </w:rPr>
      </w:pPr>
      <w:r w:rsidRPr="0034590B">
        <w:rPr>
          <w:b/>
          <w:bCs/>
        </w:rPr>
        <w:t>Cysteinyl leukotriene receptor antagonist</w:t>
      </w:r>
    </w:p>
    <w:p w14:paraId="09CBAC45" w14:textId="5210253F" w:rsidR="0034590B" w:rsidRDefault="0034590B" w:rsidP="0034590B">
      <w:pPr>
        <w:pStyle w:val="ListParagraph"/>
        <w:numPr>
          <w:ilvl w:val="0"/>
          <w:numId w:val="3"/>
        </w:numPr>
        <w:jc w:val="both"/>
      </w:pPr>
      <w:r>
        <w:t xml:space="preserve">Examples are </w:t>
      </w:r>
      <w:r w:rsidRPr="002A6894">
        <w:rPr>
          <w:b/>
          <w:bCs/>
        </w:rPr>
        <w:t>montelukast</w:t>
      </w:r>
      <w:r>
        <w:t xml:space="preserve"> and </w:t>
      </w:r>
      <w:r w:rsidRPr="002A6894">
        <w:rPr>
          <w:b/>
          <w:bCs/>
        </w:rPr>
        <w:t>zafirlukast</w:t>
      </w:r>
      <w:r>
        <w:t xml:space="preserve">. </w:t>
      </w:r>
    </w:p>
    <w:p w14:paraId="5071CFE1" w14:textId="5EB42FC0" w:rsidR="002A6894" w:rsidRDefault="002A6894" w:rsidP="0034590B">
      <w:pPr>
        <w:pStyle w:val="ListParagraph"/>
        <w:numPr>
          <w:ilvl w:val="0"/>
          <w:numId w:val="3"/>
        </w:numPr>
        <w:jc w:val="both"/>
      </w:pPr>
      <w:r>
        <w:t>Cysteinyl leukotrienes were collectively termed as ‘slow reacting substance of anaphylaxis (SRS-A). they are 10-5000 times more potent than other bronchoconstrictor agents such as histamine, platelet activating factor or prostanoids.</w:t>
      </w:r>
    </w:p>
    <w:p w14:paraId="746513D3" w14:textId="4198BB81" w:rsidR="0034590B" w:rsidRDefault="0034590B" w:rsidP="0034590B">
      <w:pPr>
        <w:pStyle w:val="ListParagraph"/>
        <w:numPr>
          <w:ilvl w:val="0"/>
          <w:numId w:val="3"/>
        </w:numPr>
        <w:jc w:val="both"/>
      </w:pPr>
      <w:r>
        <w:lastRenderedPageBreak/>
        <w:t>Cysteinyl leukotrienes (CysLTs) bind to CysLT</w:t>
      </w:r>
      <w:r>
        <w:rPr>
          <w:vertAlign w:val="subscript"/>
        </w:rPr>
        <w:t>1</w:t>
      </w:r>
      <w:r>
        <w:t xml:space="preserve"> receptor to produce bronchoconstrictor effect. Zafirlukast and montelukast are selective, high-affinity competitive antagonist for CysLT</w:t>
      </w:r>
      <w:r>
        <w:rPr>
          <w:vertAlign w:val="subscript"/>
        </w:rPr>
        <w:t xml:space="preserve">1 </w:t>
      </w:r>
      <w:r>
        <w:t>receptor and result in inhibition of CysLT</w:t>
      </w:r>
      <w:r>
        <w:rPr>
          <w:vertAlign w:val="subscript"/>
        </w:rPr>
        <w:t>1</w:t>
      </w:r>
      <w:r>
        <w:t xml:space="preserve"> induced bronchial smooth muscle contraction. This causes relief from symptoms of asthma.</w:t>
      </w:r>
    </w:p>
    <w:p w14:paraId="1B5E2D24" w14:textId="7D3EA5CB" w:rsidR="002A6894" w:rsidRDefault="002A6894" w:rsidP="002A6894">
      <w:pPr>
        <w:jc w:val="both"/>
        <w:rPr>
          <w:b/>
          <w:bCs/>
        </w:rPr>
      </w:pPr>
      <w:r w:rsidRPr="002A6894">
        <w:rPr>
          <w:b/>
          <w:bCs/>
        </w:rPr>
        <w:t>Pharmacokinetics</w:t>
      </w:r>
    </w:p>
    <w:p w14:paraId="676B699C" w14:textId="1A7B1840" w:rsidR="002A6894" w:rsidRPr="002A6894" w:rsidRDefault="002A6894" w:rsidP="002A6894">
      <w:pPr>
        <w:pStyle w:val="ListParagraph"/>
        <w:numPr>
          <w:ilvl w:val="0"/>
          <w:numId w:val="4"/>
        </w:numPr>
        <w:jc w:val="both"/>
        <w:rPr>
          <w:b/>
          <w:bCs/>
        </w:rPr>
      </w:pPr>
      <w:r>
        <w:t>All three drugs are orally active and highly protein bound. Food impairs absorption of zafirlukast.</w:t>
      </w:r>
    </w:p>
    <w:p w14:paraId="15EC8EFF" w14:textId="127E9CE3" w:rsidR="002A6894" w:rsidRPr="002A6894" w:rsidRDefault="002A6894" w:rsidP="002A6894">
      <w:pPr>
        <w:pStyle w:val="ListParagraph"/>
        <w:numPr>
          <w:ilvl w:val="0"/>
          <w:numId w:val="4"/>
        </w:numPr>
        <w:jc w:val="both"/>
        <w:rPr>
          <w:b/>
          <w:bCs/>
        </w:rPr>
      </w:pPr>
      <w:r>
        <w:t>They are metabolized extensively in liver.</w:t>
      </w:r>
    </w:p>
    <w:p w14:paraId="1E555A34" w14:textId="2469BFB6" w:rsidR="002A6894" w:rsidRPr="002A6894" w:rsidRDefault="002A6894" w:rsidP="002A6894">
      <w:pPr>
        <w:pStyle w:val="ListParagraph"/>
        <w:numPr>
          <w:ilvl w:val="0"/>
          <w:numId w:val="4"/>
        </w:numPr>
        <w:jc w:val="both"/>
        <w:rPr>
          <w:b/>
          <w:bCs/>
        </w:rPr>
      </w:pPr>
      <w:r>
        <w:t>Zileuton and its metabolites are excreted in urine whereas montelukast and zafirlukast and their metabolites are excreted through bile in feces.</w:t>
      </w:r>
    </w:p>
    <w:p w14:paraId="07EC5C4C" w14:textId="77777777" w:rsidR="002A6894" w:rsidRPr="002A6894" w:rsidRDefault="002A6894" w:rsidP="002A6894">
      <w:pPr>
        <w:pStyle w:val="ListParagraph"/>
        <w:jc w:val="both"/>
        <w:rPr>
          <w:b/>
          <w:bCs/>
        </w:rPr>
      </w:pPr>
    </w:p>
    <w:tbl>
      <w:tblPr>
        <w:tblStyle w:val="TableGrid"/>
        <w:tblW w:w="0" w:type="auto"/>
        <w:tblInd w:w="720" w:type="dxa"/>
        <w:tblLook w:val="04A0" w:firstRow="1" w:lastRow="0" w:firstColumn="1" w:lastColumn="0" w:noHBand="0" w:noVBand="1"/>
      </w:tblPr>
      <w:tblGrid>
        <w:gridCol w:w="2183"/>
        <w:gridCol w:w="2205"/>
        <w:gridCol w:w="2107"/>
        <w:gridCol w:w="2135"/>
      </w:tblGrid>
      <w:tr w:rsidR="002A6894" w14:paraId="6922C418" w14:textId="77777777" w:rsidTr="002A6894">
        <w:tc>
          <w:tcPr>
            <w:tcW w:w="2337" w:type="dxa"/>
          </w:tcPr>
          <w:p w14:paraId="202C5C78" w14:textId="31307340" w:rsidR="002A6894" w:rsidRDefault="002A6894" w:rsidP="002A6894">
            <w:pPr>
              <w:pStyle w:val="ListParagraph"/>
              <w:ind w:left="0"/>
              <w:jc w:val="both"/>
              <w:rPr>
                <w:b/>
                <w:bCs/>
              </w:rPr>
            </w:pPr>
            <w:r>
              <w:rPr>
                <w:b/>
                <w:bCs/>
              </w:rPr>
              <w:t>LT modifier</w:t>
            </w:r>
          </w:p>
        </w:tc>
        <w:tc>
          <w:tcPr>
            <w:tcW w:w="2337" w:type="dxa"/>
          </w:tcPr>
          <w:p w14:paraId="60E4188F" w14:textId="7483A484" w:rsidR="002A6894" w:rsidRDefault="002A6894" w:rsidP="002A6894">
            <w:pPr>
              <w:pStyle w:val="ListParagraph"/>
              <w:ind w:left="0"/>
              <w:jc w:val="both"/>
              <w:rPr>
                <w:b/>
                <w:bCs/>
              </w:rPr>
            </w:pPr>
            <w:r>
              <w:rPr>
                <w:b/>
                <w:bCs/>
              </w:rPr>
              <w:t>Bioavailability</w:t>
            </w:r>
          </w:p>
        </w:tc>
        <w:tc>
          <w:tcPr>
            <w:tcW w:w="2338" w:type="dxa"/>
          </w:tcPr>
          <w:p w14:paraId="298F078C" w14:textId="3E7FC478" w:rsidR="002A6894" w:rsidRDefault="002A6894" w:rsidP="002A6894">
            <w:pPr>
              <w:pStyle w:val="ListParagraph"/>
              <w:ind w:left="0"/>
              <w:jc w:val="both"/>
              <w:rPr>
                <w:b/>
                <w:bCs/>
              </w:rPr>
            </w:pPr>
            <w:r>
              <w:rPr>
                <w:b/>
                <w:bCs/>
              </w:rPr>
              <w:t>Half-life (Hours)</w:t>
            </w:r>
          </w:p>
        </w:tc>
        <w:tc>
          <w:tcPr>
            <w:tcW w:w="2338" w:type="dxa"/>
          </w:tcPr>
          <w:p w14:paraId="6F213CB4" w14:textId="16AA757B" w:rsidR="002A6894" w:rsidRDefault="002A6894" w:rsidP="002A6894">
            <w:pPr>
              <w:pStyle w:val="ListParagraph"/>
              <w:ind w:left="0"/>
              <w:jc w:val="both"/>
              <w:rPr>
                <w:b/>
                <w:bCs/>
              </w:rPr>
            </w:pPr>
            <w:r>
              <w:rPr>
                <w:b/>
                <w:bCs/>
              </w:rPr>
              <w:t>Excretion</w:t>
            </w:r>
          </w:p>
        </w:tc>
      </w:tr>
      <w:tr w:rsidR="002A6894" w14:paraId="5C28F3BE" w14:textId="77777777" w:rsidTr="002A6894">
        <w:tc>
          <w:tcPr>
            <w:tcW w:w="2337" w:type="dxa"/>
          </w:tcPr>
          <w:p w14:paraId="75C9AC8D" w14:textId="67F3B80C" w:rsidR="002A6894" w:rsidRDefault="002A6894" w:rsidP="002A6894">
            <w:pPr>
              <w:pStyle w:val="ListParagraph"/>
              <w:ind w:left="0"/>
              <w:jc w:val="both"/>
              <w:rPr>
                <w:b/>
                <w:bCs/>
              </w:rPr>
            </w:pPr>
            <w:r>
              <w:rPr>
                <w:b/>
                <w:bCs/>
              </w:rPr>
              <w:t>Montelukast</w:t>
            </w:r>
          </w:p>
        </w:tc>
        <w:tc>
          <w:tcPr>
            <w:tcW w:w="2337" w:type="dxa"/>
          </w:tcPr>
          <w:p w14:paraId="54ED8346" w14:textId="46FD1BF1" w:rsidR="002A6894" w:rsidRPr="00236AA8" w:rsidRDefault="00236AA8" w:rsidP="002A6894">
            <w:pPr>
              <w:pStyle w:val="ListParagraph"/>
              <w:ind w:left="0"/>
              <w:jc w:val="both"/>
            </w:pPr>
            <w:r w:rsidRPr="00236AA8">
              <w:rPr>
                <w:rFonts w:cstheme="minorHAnsi"/>
              </w:rPr>
              <w:t>̴</w:t>
            </w:r>
            <w:r w:rsidRPr="00236AA8">
              <w:t>60-70 %</w:t>
            </w:r>
          </w:p>
        </w:tc>
        <w:tc>
          <w:tcPr>
            <w:tcW w:w="2338" w:type="dxa"/>
          </w:tcPr>
          <w:p w14:paraId="36D1FD8E" w14:textId="5523664D" w:rsidR="002A6894" w:rsidRPr="00236AA8" w:rsidRDefault="002A6894" w:rsidP="002A6894">
            <w:pPr>
              <w:pStyle w:val="ListParagraph"/>
              <w:ind w:left="0"/>
              <w:jc w:val="both"/>
            </w:pPr>
            <w:r w:rsidRPr="00236AA8">
              <w:t>3-6</w:t>
            </w:r>
          </w:p>
        </w:tc>
        <w:tc>
          <w:tcPr>
            <w:tcW w:w="2338" w:type="dxa"/>
          </w:tcPr>
          <w:p w14:paraId="30F9045B" w14:textId="42B49E66" w:rsidR="002A6894" w:rsidRPr="00236AA8" w:rsidRDefault="002A6894" w:rsidP="002A6894">
            <w:pPr>
              <w:pStyle w:val="ListParagraph"/>
              <w:ind w:left="0"/>
              <w:jc w:val="both"/>
            </w:pPr>
            <w:r w:rsidRPr="00236AA8">
              <w:t>through bile</w:t>
            </w:r>
          </w:p>
        </w:tc>
      </w:tr>
      <w:tr w:rsidR="002A6894" w14:paraId="21ADD075" w14:textId="77777777" w:rsidTr="002A6894">
        <w:tc>
          <w:tcPr>
            <w:tcW w:w="2337" w:type="dxa"/>
          </w:tcPr>
          <w:p w14:paraId="2A1BB450" w14:textId="4B6312F7" w:rsidR="002A6894" w:rsidRDefault="002A6894" w:rsidP="002A6894">
            <w:pPr>
              <w:pStyle w:val="ListParagraph"/>
              <w:ind w:left="0"/>
              <w:jc w:val="both"/>
              <w:rPr>
                <w:b/>
                <w:bCs/>
              </w:rPr>
            </w:pPr>
            <w:r>
              <w:rPr>
                <w:b/>
                <w:bCs/>
              </w:rPr>
              <w:t>Zafirlukast</w:t>
            </w:r>
          </w:p>
        </w:tc>
        <w:tc>
          <w:tcPr>
            <w:tcW w:w="2337" w:type="dxa"/>
          </w:tcPr>
          <w:p w14:paraId="03E1374F" w14:textId="7725B7C7" w:rsidR="002A6894" w:rsidRPr="00236AA8" w:rsidRDefault="00236AA8" w:rsidP="002A6894">
            <w:pPr>
              <w:pStyle w:val="ListParagraph"/>
              <w:ind w:left="0"/>
              <w:jc w:val="both"/>
            </w:pPr>
            <w:r w:rsidRPr="00236AA8">
              <w:rPr>
                <w:rFonts w:cstheme="minorHAnsi"/>
              </w:rPr>
              <w:t>̴</w:t>
            </w:r>
            <w:r w:rsidRPr="00236AA8">
              <w:t>90%</w:t>
            </w:r>
          </w:p>
        </w:tc>
        <w:tc>
          <w:tcPr>
            <w:tcW w:w="2338" w:type="dxa"/>
          </w:tcPr>
          <w:p w14:paraId="721387CB" w14:textId="245610E0" w:rsidR="002A6894" w:rsidRPr="00236AA8" w:rsidRDefault="00236AA8" w:rsidP="002A6894">
            <w:pPr>
              <w:pStyle w:val="ListParagraph"/>
              <w:ind w:left="0"/>
              <w:jc w:val="both"/>
            </w:pPr>
            <w:r w:rsidRPr="00236AA8">
              <w:rPr>
                <w:rFonts w:cstheme="minorHAnsi"/>
              </w:rPr>
              <w:t>̴</w:t>
            </w:r>
            <w:r w:rsidRPr="00236AA8">
              <w:t>10</w:t>
            </w:r>
          </w:p>
        </w:tc>
        <w:tc>
          <w:tcPr>
            <w:tcW w:w="2338" w:type="dxa"/>
          </w:tcPr>
          <w:p w14:paraId="724D7C7E" w14:textId="42D220AE" w:rsidR="002A6894" w:rsidRPr="00236AA8" w:rsidRDefault="002A6894" w:rsidP="002A6894">
            <w:pPr>
              <w:pStyle w:val="ListParagraph"/>
              <w:ind w:left="0"/>
              <w:jc w:val="both"/>
            </w:pPr>
            <w:r w:rsidRPr="00236AA8">
              <w:t>through bile</w:t>
            </w:r>
          </w:p>
        </w:tc>
      </w:tr>
      <w:tr w:rsidR="002A6894" w14:paraId="194EBBAF" w14:textId="77777777" w:rsidTr="002A6894">
        <w:tc>
          <w:tcPr>
            <w:tcW w:w="2337" w:type="dxa"/>
          </w:tcPr>
          <w:p w14:paraId="2422D486" w14:textId="2DE3DC6F" w:rsidR="002A6894" w:rsidRDefault="002A6894" w:rsidP="002A6894">
            <w:pPr>
              <w:pStyle w:val="ListParagraph"/>
              <w:ind w:left="0"/>
              <w:jc w:val="both"/>
              <w:rPr>
                <w:b/>
                <w:bCs/>
              </w:rPr>
            </w:pPr>
            <w:r>
              <w:rPr>
                <w:b/>
                <w:bCs/>
              </w:rPr>
              <w:t>Zileuton</w:t>
            </w:r>
          </w:p>
        </w:tc>
        <w:tc>
          <w:tcPr>
            <w:tcW w:w="2337" w:type="dxa"/>
          </w:tcPr>
          <w:p w14:paraId="673FDF1C" w14:textId="7D083537" w:rsidR="002A6894" w:rsidRPr="00236AA8" w:rsidRDefault="00236AA8" w:rsidP="002A6894">
            <w:pPr>
              <w:pStyle w:val="ListParagraph"/>
              <w:ind w:left="0"/>
              <w:jc w:val="both"/>
            </w:pPr>
            <w:r w:rsidRPr="00236AA8">
              <w:rPr>
                <w:rFonts w:cstheme="minorHAnsi"/>
              </w:rPr>
              <w:t>̴</w:t>
            </w:r>
            <w:r w:rsidRPr="00236AA8">
              <w:t>93%</w:t>
            </w:r>
          </w:p>
        </w:tc>
        <w:tc>
          <w:tcPr>
            <w:tcW w:w="2338" w:type="dxa"/>
          </w:tcPr>
          <w:p w14:paraId="185F2B7D" w14:textId="134DEF76" w:rsidR="002A6894" w:rsidRPr="00236AA8" w:rsidRDefault="00236AA8" w:rsidP="002A6894">
            <w:pPr>
              <w:pStyle w:val="ListParagraph"/>
              <w:ind w:left="0"/>
              <w:jc w:val="both"/>
            </w:pPr>
            <w:r w:rsidRPr="00236AA8">
              <w:rPr>
                <w:rFonts w:cstheme="minorHAnsi"/>
              </w:rPr>
              <w:t>̴</w:t>
            </w:r>
            <w:r w:rsidRPr="00236AA8">
              <w:t>2</w:t>
            </w:r>
          </w:p>
        </w:tc>
        <w:tc>
          <w:tcPr>
            <w:tcW w:w="2338" w:type="dxa"/>
          </w:tcPr>
          <w:p w14:paraId="1614069F" w14:textId="2CD626D1" w:rsidR="002A6894" w:rsidRPr="00236AA8" w:rsidRDefault="002A6894" w:rsidP="002A6894">
            <w:pPr>
              <w:pStyle w:val="ListParagraph"/>
              <w:ind w:left="0"/>
              <w:jc w:val="both"/>
            </w:pPr>
            <w:r w:rsidRPr="00236AA8">
              <w:t>through urine</w:t>
            </w:r>
          </w:p>
        </w:tc>
      </w:tr>
    </w:tbl>
    <w:p w14:paraId="4989E59D" w14:textId="77777777" w:rsidR="00236AA8" w:rsidRDefault="00236AA8" w:rsidP="002A6894">
      <w:pPr>
        <w:pStyle w:val="ListParagraph"/>
        <w:jc w:val="both"/>
        <w:rPr>
          <w:b/>
          <w:bCs/>
        </w:rPr>
      </w:pPr>
    </w:p>
    <w:p w14:paraId="41AD5C1E" w14:textId="261332A0" w:rsidR="002A6894" w:rsidRPr="002A6894" w:rsidRDefault="00236AA8" w:rsidP="002A6894">
      <w:pPr>
        <w:pStyle w:val="ListParagraph"/>
        <w:jc w:val="both"/>
        <w:rPr>
          <w:b/>
          <w:bCs/>
        </w:rPr>
      </w:pPr>
      <w:r>
        <w:rPr>
          <w:b/>
          <w:bCs/>
        </w:rPr>
        <w:t>Table 1- Pharmacokinetic parameters of leukotriene modifiers</w:t>
      </w:r>
    </w:p>
    <w:p w14:paraId="579B55FD" w14:textId="4D2BD14C" w:rsidR="002A6894" w:rsidRDefault="00FA2759" w:rsidP="002A6894">
      <w:pPr>
        <w:jc w:val="both"/>
        <w:rPr>
          <w:b/>
          <w:bCs/>
        </w:rPr>
      </w:pPr>
      <w:r w:rsidRPr="00FA2759">
        <w:rPr>
          <w:b/>
          <w:bCs/>
        </w:rPr>
        <w:t>Therapeutic Uses</w:t>
      </w:r>
    </w:p>
    <w:p w14:paraId="25093DC8" w14:textId="5AA991A6" w:rsidR="00FA2759" w:rsidRDefault="00FA2759" w:rsidP="00FA2759">
      <w:pPr>
        <w:pStyle w:val="ListParagraph"/>
        <w:numPr>
          <w:ilvl w:val="0"/>
          <w:numId w:val="5"/>
        </w:numPr>
        <w:jc w:val="both"/>
      </w:pPr>
      <w:r>
        <w:t>To treat exercise induced bronchoconstriction.</w:t>
      </w:r>
      <w:r w:rsidR="008B519D">
        <w:t xml:space="preserve"> </w:t>
      </w:r>
      <w:r>
        <w:t>They can be used as an alternative to low dose inhaled corticosteroids or when side effects, poor inhaler administration technique, non-compliance is suspected.</w:t>
      </w:r>
    </w:p>
    <w:p w14:paraId="4FB6B476" w14:textId="44C5488C" w:rsidR="00C20080" w:rsidRDefault="002B1A92" w:rsidP="00FA2759">
      <w:pPr>
        <w:pStyle w:val="ListParagraph"/>
        <w:numPr>
          <w:ilvl w:val="0"/>
          <w:numId w:val="5"/>
        </w:numPr>
        <w:jc w:val="both"/>
      </w:pPr>
      <w:r>
        <w:t>In aspirin induced bronchospasm.</w:t>
      </w:r>
    </w:p>
    <w:p w14:paraId="5F7D016B" w14:textId="7DE6081A" w:rsidR="002B1A92" w:rsidRDefault="002B1A92" w:rsidP="00FA2759">
      <w:pPr>
        <w:pStyle w:val="ListParagraph"/>
        <w:numPr>
          <w:ilvl w:val="0"/>
          <w:numId w:val="5"/>
        </w:numPr>
        <w:jc w:val="both"/>
      </w:pPr>
      <w:r>
        <w:t>In cold air induced bronchoconstriction.</w:t>
      </w:r>
    </w:p>
    <w:p w14:paraId="7CD1DA62" w14:textId="287A4075" w:rsidR="002B1A92" w:rsidRDefault="002B1A92" w:rsidP="00FA2759">
      <w:pPr>
        <w:pStyle w:val="ListParagraph"/>
        <w:numPr>
          <w:ilvl w:val="0"/>
          <w:numId w:val="5"/>
        </w:numPr>
        <w:jc w:val="both"/>
      </w:pPr>
      <w:r>
        <w:t>In allergic rhinitis.</w:t>
      </w:r>
    </w:p>
    <w:p w14:paraId="7507874A" w14:textId="6010464E" w:rsidR="002B1A92" w:rsidRDefault="002B1A92" w:rsidP="00FA2759">
      <w:pPr>
        <w:pStyle w:val="ListParagraph"/>
        <w:numPr>
          <w:ilvl w:val="0"/>
          <w:numId w:val="5"/>
        </w:numPr>
        <w:jc w:val="both"/>
      </w:pPr>
      <w:r>
        <w:t>In mild to moderate chronic persistent asthma.</w:t>
      </w:r>
    </w:p>
    <w:p w14:paraId="6B661505" w14:textId="3D614931" w:rsidR="002B1A92" w:rsidRDefault="002B1A92" w:rsidP="002B1A92">
      <w:pPr>
        <w:jc w:val="both"/>
      </w:pPr>
      <w:r>
        <w:t xml:space="preserve">They have no bronchodilator action, hence cannot be used as rescue drugs when immediate bronchodilation is required. </w:t>
      </w:r>
      <w:r w:rsidR="008B519D">
        <w:t xml:space="preserve">They are typically not a first-line treatment in any of above-mentioned cases. </w:t>
      </w:r>
      <w:r>
        <w:t>They can be used as alternative to low dose inhaled glucocorticoid therapy in mild asthma in children. They are expensive and their superiority above older drugs used for asthma like beta-2 adrenergic receptor agonists, aminophylline is not established. Hence, they are used only in selective cases.</w:t>
      </w:r>
    </w:p>
    <w:p w14:paraId="40E3D652" w14:textId="586FAB64" w:rsidR="00FA2759" w:rsidRDefault="00FA2759" w:rsidP="00FA2759">
      <w:pPr>
        <w:jc w:val="both"/>
        <w:rPr>
          <w:color w:val="000000"/>
          <w:shd w:val="clear" w:color="auto" w:fill="FFFFFF"/>
        </w:rPr>
      </w:pPr>
      <w:r>
        <w:rPr>
          <w:color w:val="000000"/>
          <w:shd w:val="clear" w:color="auto" w:fill="FFFFFF"/>
        </w:rPr>
        <w:t>Montelukast has several advantages over other LTRAs, including formulation, onset of action, duration of action, and a low incidence of adverse effects. Perhaps most important, chronic daily use does not result in the development of tolerance</w:t>
      </w:r>
      <w:r w:rsidR="002B1A92">
        <w:rPr>
          <w:color w:val="000000"/>
          <w:shd w:val="clear" w:color="auto" w:fill="FFFFFF"/>
        </w:rPr>
        <w:t xml:space="preserve">. So, it is preferred more. </w:t>
      </w:r>
    </w:p>
    <w:p w14:paraId="160A1CA7" w14:textId="5370C5C1" w:rsidR="002B1A92" w:rsidRDefault="002B1A92" w:rsidP="00FA2759">
      <w:pPr>
        <w:jc w:val="both"/>
        <w:rPr>
          <w:b/>
          <w:bCs/>
          <w:color w:val="000000"/>
          <w:shd w:val="clear" w:color="auto" w:fill="FFFFFF"/>
        </w:rPr>
      </w:pPr>
      <w:r w:rsidRPr="002B1A92">
        <w:rPr>
          <w:b/>
          <w:bCs/>
          <w:color w:val="000000"/>
          <w:shd w:val="clear" w:color="auto" w:fill="FFFFFF"/>
        </w:rPr>
        <w:t>Adverse Effects</w:t>
      </w:r>
    </w:p>
    <w:p w14:paraId="285F6ACF" w14:textId="316ED75A" w:rsidR="008B519D" w:rsidRDefault="008B519D" w:rsidP="008B519D">
      <w:pPr>
        <w:pStyle w:val="ListParagraph"/>
        <w:numPr>
          <w:ilvl w:val="0"/>
          <w:numId w:val="6"/>
        </w:numPr>
        <w:jc w:val="both"/>
        <w:rPr>
          <w:color w:val="000000"/>
          <w:shd w:val="clear" w:color="auto" w:fill="FFFFFF"/>
        </w:rPr>
      </w:pPr>
      <w:r>
        <w:rPr>
          <w:color w:val="000000"/>
          <w:shd w:val="clear" w:color="auto" w:fill="FFFFFF"/>
        </w:rPr>
        <w:t>They are generally well tolerated.</w:t>
      </w:r>
    </w:p>
    <w:p w14:paraId="62D5CCA4" w14:textId="265E9DB0" w:rsidR="008B519D" w:rsidRDefault="008B519D" w:rsidP="008B519D">
      <w:pPr>
        <w:pStyle w:val="ListParagraph"/>
        <w:numPr>
          <w:ilvl w:val="0"/>
          <w:numId w:val="6"/>
        </w:numPr>
        <w:jc w:val="both"/>
        <w:rPr>
          <w:color w:val="000000"/>
          <w:shd w:val="clear" w:color="auto" w:fill="FFFFFF"/>
        </w:rPr>
      </w:pPr>
      <w:r>
        <w:rPr>
          <w:color w:val="000000"/>
          <w:shd w:val="clear" w:color="auto" w:fill="FFFFFF"/>
        </w:rPr>
        <w:t xml:space="preserve">Some common side effects are headache, gastrointestinal disturbances, dyspepsia, nausea, vomiting, rashes and fever. </w:t>
      </w:r>
      <w:r w:rsidRPr="008B519D">
        <w:rPr>
          <w:color w:val="000000"/>
          <w:shd w:val="clear" w:color="auto" w:fill="FFFFFF"/>
        </w:rPr>
        <w:t>All 3 agents can cause elevation of serum hepatic enzymes. So, regular monitoring of hepatic enzymes is required.</w:t>
      </w:r>
    </w:p>
    <w:p w14:paraId="76F45D49" w14:textId="15103164" w:rsidR="008B519D" w:rsidRDefault="008B519D" w:rsidP="008B519D">
      <w:pPr>
        <w:pStyle w:val="ListParagraph"/>
        <w:numPr>
          <w:ilvl w:val="0"/>
          <w:numId w:val="6"/>
        </w:numPr>
        <w:jc w:val="both"/>
        <w:rPr>
          <w:color w:val="000000"/>
          <w:shd w:val="clear" w:color="auto" w:fill="FFFFFF"/>
        </w:rPr>
      </w:pPr>
      <w:r w:rsidRPr="008B519D">
        <w:rPr>
          <w:color w:val="000000"/>
          <w:shd w:val="clear" w:color="auto" w:fill="FFFFFF"/>
        </w:rPr>
        <w:t>They can also cause pulmonary eosinophilia, hallucinations, sleep disorders and seizures.</w:t>
      </w:r>
      <w:r>
        <w:rPr>
          <w:color w:val="000000"/>
          <w:shd w:val="clear" w:color="auto" w:fill="FFFFFF"/>
        </w:rPr>
        <w:t xml:space="preserve"> They are very rare.</w:t>
      </w:r>
    </w:p>
    <w:p w14:paraId="294382CD" w14:textId="21B683F3" w:rsidR="008B519D" w:rsidRDefault="008B519D" w:rsidP="008B519D">
      <w:pPr>
        <w:pStyle w:val="ListParagraph"/>
        <w:numPr>
          <w:ilvl w:val="0"/>
          <w:numId w:val="6"/>
        </w:numPr>
        <w:jc w:val="both"/>
        <w:rPr>
          <w:color w:val="000000"/>
          <w:shd w:val="clear" w:color="auto" w:fill="FFFFFF"/>
        </w:rPr>
      </w:pPr>
      <w:r>
        <w:rPr>
          <w:color w:val="000000"/>
          <w:shd w:val="clear" w:color="auto" w:fill="FFFFFF"/>
        </w:rPr>
        <w:lastRenderedPageBreak/>
        <w:t>Agitation symptoms may occur after drug withdrawal.</w:t>
      </w:r>
    </w:p>
    <w:p w14:paraId="2F41749B" w14:textId="5F834503" w:rsidR="008B519D" w:rsidRDefault="008B519D" w:rsidP="008B519D">
      <w:pPr>
        <w:jc w:val="both"/>
        <w:rPr>
          <w:b/>
          <w:bCs/>
          <w:color w:val="000000"/>
          <w:shd w:val="clear" w:color="auto" w:fill="FFFFFF"/>
        </w:rPr>
      </w:pPr>
      <w:r w:rsidRPr="008B519D">
        <w:rPr>
          <w:b/>
          <w:bCs/>
          <w:color w:val="000000"/>
          <w:shd w:val="clear" w:color="auto" w:fill="FFFFFF"/>
        </w:rPr>
        <w:t>Drug Interaction</w:t>
      </w:r>
    </w:p>
    <w:p w14:paraId="55BC1B26" w14:textId="77777777" w:rsidR="00022205" w:rsidRPr="00022205" w:rsidRDefault="00022205" w:rsidP="008B519D">
      <w:pPr>
        <w:pStyle w:val="ListParagraph"/>
        <w:numPr>
          <w:ilvl w:val="0"/>
          <w:numId w:val="9"/>
        </w:numPr>
        <w:jc w:val="both"/>
        <w:rPr>
          <w:b/>
          <w:bCs/>
          <w:color w:val="000000"/>
          <w:shd w:val="clear" w:color="auto" w:fill="FFFFFF"/>
        </w:rPr>
      </w:pPr>
      <w:r>
        <w:rPr>
          <w:color w:val="000000"/>
          <w:shd w:val="clear" w:color="auto" w:fill="FFFFFF"/>
        </w:rPr>
        <w:t>Zilueton decreases clearance of drugs like theophylline, propranolol and warfarin.</w:t>
      </w:r>
    </w:p>
    <w:p w14:paraId="49FB64F9" w14:textId="164021F8" w:rsidR="008B519D" w:rsidRPr="00022205" w:rsidRDefault="00022205" w:rsidP="008B519D">
      <w:pPr>
        <w:pStyle w:val="ListParagraph"/>
        <w:numPr>
          <w:ilvl w:val="0"/>
          <w:numId w:val="9"/>
        </w:numPr>
        <w:jc w:val="both"/>
        <w:rPr>
          <w:b/>
          <w:bCs/>
          <w:color w:val="000000"/>
          <w:shd w:val="clear" w:color="auto" w:fill="FFFFFF"/>
        </w:rPr>
      </w:pPr>
      <w:r>
        <w:rPr>
          <w:color w:val="000000"/>
          <w:shd w:val="clear" w:color="auto" w:fill="FFFFFF"/>
        </w:rPr>
        <w:t xml:space="preserve"> Zafirlukast may interact with warfarin and increase prothrombin time. It may also interfere with antiepileptic drugs like phenytoin and carbamazepine.</w:t>
      </w:r>
    </w:p>
    <w:p w14:paraId="7CDE8486" w14:textId="2872EF9F" w:rsidR="00022205" w:rsidRPr="00022205" w:rsidRDefault="00022205" w:rsidP="00022205">
      <w:pPr>
        <w:jc w:val="both"/>
        <w:rPr>
          <w:b/>
          <w:bCs/>
          <w:color w:val="000000"/>
          <w:shd w:val="clear" w:color="auto" w:fill="FFFFFF"/>
        </w:rPr>
      </w:pPr>
      <w:r w:rsidRPr="00022205">
        <w:rPr>
          <w:b/>
          <w:bCs/>
          <w:color w:val="000000"/>
          <w:shd w:val="clear" w:color="auto" w:fill="FFFFFF"/>
        </w:rPr>
        <w:t>Contraindication</w:t>
      </w:r>
    </w:p>
    <w:p w14:paraId="31EFBD1C" w14:textId="000BEECD" w:rsidR="00022205" w:rsidRDefault="00022205" w:rsidP="00022205">
      <w:pPr>
        <w:pStyle w:val="ListParagraph"/>
        <w:numPr>
          <w:ilvl w:val="0"/>
          <w:numId w:val="10"/>
        </w:numPr>
        <w:jc w:val="both"/>
        <w:rPr>
          <w:color w:val="000000"/>
          <w:shd w:val="clear" w:color="auto" w:fill="FFFFFF"/>
        </w:rPr>
      </w:pPr>
      <w:r>
        <w:rPr>
          <w:color w:val="000000"/>
          <w:shd w:val="clear" w:color="auto" w:fill="FFFFFF"/>
        </w:rPr>
        <w:t>Contraindicated in patients who are allergic or hypersensitive to them.</w:t>
      </w:r>
    </w:p>
    <w:p w14:paraId="4380F07C" w14:textId="77777777" w:rsidR="00022205" w:rsidRDefault="00022205" w:rsidP="00FA2759">
      <w:pPr>
        <w:pStyle w:val="ListParagraph"/>
        <w:numPr>
          <w:ilvl w:val="0"/>
          <w:numId w:val="10"/>
        </w:numPr>
        <w:jc w:val="both"/>
        <w:rPr>
          <w:color w:val="000000"/>
          <w:shd w:val="clear" w:color="auto" w:fill="FFFFFF"/>
        </w:rPr>
      </w:pPr>
      <w:r>
        <w:rPr>
          <w:color w:val="000000"/>
          <w:shd w:val="clear" w:color="auto" w:fill="FFFFFF"/>
        </w:rPr>
        <w:t>Zilueton is contraindicated in patients with active liver disease or in whom hepatic enzymes level are three times the upper limit of normal.</w:t>
      </w:r>
    </w:p>
    <w:p w14:paraId="692407C0" w14:textId="5ADBF020" w:rsidR="002B1A92" w:rsidRDefault="008B519D" w:rsidP="00022205">
      <w:pPr>
        <w:ind w:left="360"/>
        <w:jc w:val="both"/>
        <w:rPr>
          <w:b/>
          <w:bCs/>
          <w:color w:val="000000"/>
          <w:shd w:val="clear" w:color="auto" w:fill="FFFFFF"/>
        </w:rPr>
      </w:pPr>
      <w:r w:rsidRPr="00022205">
        <w:rPr>
          <w:b/>
          <w:bCs/>
          <w:color w:val="000000"/>
          <w:shd w:val="clear" w:color="auto" w:fill="FFFFFF"/>
        </w:rPr>
        <w:t>References</w:t>
      </w:r>
    </w:p>
    <w:p w14:paraId="488B3EBD" w14:textId="77777777" w:rsidR="00022205" w:rsidRPr="00022205" w:rsidRDefault="00022205" w:rsidP="00022205">
      <w:pPr>
        <w:pStyle w:val="ListParagraph"/>
        <w:numPr>
          <w:ilvl w:val="0"/>
          <w:numId w:val="11"/>
        </w:numPr>
        <w:jc w:val="both"/>
        <w:rPr>
          <w:rFonts w:cstheme="minorHAnsi"/>
          <w:shd w:val="clear" w:color="auto" w:fill="FFFFFF"/>
        </w:rPr>
      </w:pPr>
      <w:hyperlink r:id="rId7" w:history="1">
        <w:r w:rsidRPr="00022205">
          <w:rPr>
            <w:rStyle w:val="Hyperlink"/>
            <w:rFonts w:cstheme="minorHAnsi"/>
            <w:color w:val="auto"/>
            <w:u w:val="none"/>
          </w:rPr>
          <w:t>https://en.wikipedia.org/wiki/Leukotriene</w:t>
        </w:r>
      </w:hyperlink>
    </w:p>
    <w:p w14:paraId="237DB196" w14:textId="77777777" w:rsidR="00313D10" w:rsidRPr="00313D10" w:rsidRDefault="00022205" w:rsidP="00313D10">
      <w:pPr>
        <w:pStyle w:val="ListParagraph"/>
        <w:numPr>
          <w:ilvl w:val="0"/>
          <w:numId w:val="11"/>
        </w:numPr>
        <w:jc w:val="both"/>
        <w:rPr>
          <w:rStyle w:val="cit"/>
          <w:rFonts w:cstheme="minorHAnsi"/>
          <w:shd w:val="clear" w:color="auto" w:fill="FFFFFF"/>
        </w:rPr>
      </w:pPr>
      <w:r>
        <w:rPr>
          <w:rFonts w:cstheme="minorHAnsi"/>
        </w:rPr>
        <w:t xml:space="preserve">Philteos GS, davis BE, Cockcroft DW, Marciniuk DD.  </w:t>
      </w:r>
      <w:r w:rsidRPr="00022205">
        <w:rPr>
          <w:rFonts w:cstheme="minorHAnsi"/>
        </w:rPr>
        <w:t>Role of Leukotriene Receptor Antagonists in the Treatment of Exercise-Induced Bronchoconstriction: A Review</w:t>
      </w:r>
      <w:r>
        <w:rPr>
          <w:rFonts w:cstheme="minorHAnsi"/>
        </w:rPr>
        <w:t xml:space="preserve">. </w:t>
      </w:r>
      <w:hyperlink r:id="rId8" w:history="1">
        <w:r w:rsidR="00FA2759" w:rsidRPr="00313D10">
          <w:rPr>
            <w:rStyle w:val="Hyperlink"/>
            <w:rFonts w:cstheme="minorHAnsi"/>
            <w:i/>
            <w:iCs/>
            <w:color w:val="auto"/>
            <w:u w:val="none"/>
          </w:rPr>
          <w:t>Allergy Asthma Clin Immunol</w:t>
        </w:r>
      </w:hyperlink>
      <w:r w:rsidR="00FA2759" w:rsidRPr="00022205">
        <w:rPr>
          <w:rStyle w:val="cit"/>
          <w:rFonts w:cstheme="minorHAnsi"/>
        </w:rPr>
        <w:t xml:space="preserve">. 2005; 1(2): 60–64. </w:t>
      </w:r>
    </w:p>
    <w:p w14:paraId="6576A851" w14:textId="77777777" w:rsidR="00313D10" w:rsidRPr="00313D10" w:rsidRDefault="00313D10" w:rsidP="00313D10">
      <w:pPr>
        <w:pStyle w:val="ListParagraph"/>
        <w:numPr>
          <w:ilvl w:val="0"/>
          <w:numId w:val="11"/>
        </w:numPr>
        <w:jc w:val="both"/>
        <w:rPr>
          <w:rStyle w:val="cit"/>
          <w:rFonts w:cstheme="minorHAnsi"/>
          <w:shd w:val="clear" w:color="auto" w:fill="FFFFFF"/>
        </w:rPr>
      </w:pPr>
      <w:r>
        <w:rPr>
          <w:rStyle w:val="cit"/>
          <w:rFonts w:cstheme="minorHAnsi"/>
        </w:rPr>
        <w:t xml:space="preserve">Mali RG, Dhake As. </w:t>
      </w:r>
      <w:r w:rsidRPr="00313D10">
        <w:rPr>
          <w:rStyle w:val="cit"/>
          <w:rFonts w:cstheme="minorHAnsi"/>
        </w:rPr>
        <w:t>A review on herbal antiasthmatics</w:t>
      </w:r>
      <w:r>
        <w:rPr>
          <w:rStyle w:val="cit"/>
          <w:rFonts w:cstheme="minorHAnsi"/>
        </w:rPr>
        <w:t xml:space="preserve">. </w:t>
      </w:r>
      <w:hyperlink r:id="rId9" w:history="1">
        <w:r w:rsidR="00FA2759" w:rsidRPr="00313D10">
          <w:rPr>
            <w:rStyle w:val="Hyperlink"/>
            <w:rFonts w:cstheme="minorHAnsi"/>
            <w:i/>
            <w:iCs/>
            <w:color w:val="auto"/>
            <w:u w:val="none"/>
          </w:rPr>
          <w:t>Orient Pharm Exp Med</w:t>
        </w:r>
      </w:hyperlink>
      <w:r w:rsidR="00FA2759" w:rsidRPr="00313D10">
        <w:rPr>
          <w:rStyle w:val="cit"/>
          <w:rFonts w:cstheme="minorHAnsi"/>
        </w:rPr>
        <w:t xml:space="preserve">. 2011; 11(2): 77–90. </w:t>
      </w:r>
    </w:p>
    <w:p w14:paraId="7234B630" w14:textId="77777777" w:rsidR="00313D10" w:rsidRDefault="00313D10" w:rsidP="00313D10">
      <w:pPr>
        <w:pStyle w:val="ListParagraph"/>
        <w:numPr>
          <w:ilvl w:val="0"/>
          <w:numId w:val="11"/>
        </w:numPr>
        <w:jc w:val="both"/>
        <w:rPr>
          <w:rFonts w:cstheme="minorHAnsi"/>
        </w:rPr>
      </w:pPr>
      <w:r w:rsidRPr="00313D10">
        <w:rPr>
          <w:rStyle w:val="cit"/>
          <w:rFonts w:cstheme="minorHAnsi"/>
        </w:rPr>
        <w:t>Miligkos M, Bannuru RR, Alkofide H, Kher SR, Schmid CH, Balk EM. Leukotriene receptor antagonists versus placebo in the treatment of asthma in adults and adolescents: a systematic review and meta-analysis</w:t>
      </w:r>
      <w:r>
        <w:rPr>
          <w:rStyle w:val="cit"/>
          <w:rFonts w:cstheme="minorHAnsi"/>
        </w:rPr>
        <w:t xml:space="preserve">. </w:t>
      </w:r>
      <w:hyperlink r:id="rId10" w:tgtFrame="pmc_ext" w:history="1">
        <w:r w:rsidR="002B1A92" w:rsidRPr="00313D10">
          <w:rPr>
            <w:rStyle w:val="cit"/>
            <w:rFonts w:cstheme="minorHAnsi"/>
            <w:i/>
            <w:iCs/>
          </w:rPr>
          <w:t>Ann Intern Med</w:t>
        </w:r>
        <w:r w:rsidR="002B1A92" w:rsidRPr="00313D10">
          <w:rPr>
            <w:rStyle w:val="cit"/>
            <w:rFonts w:cstheme="minorHAnsi"/>
          </w:rPr>
          <w:t xml:space="preserve">. 2015; 163(10): 756–767. </w:t>
        </w:r>
      </w:hyperlink>
    </w:p>
    <w:p w14:paraId="23C24E17" w14:textId="77777777" w:rsidR="00313D10" w:rsidRDefault="00313D10" w:rsidP="00313D10">
      <w:pPr>
        <w:pStyle w:val="ListParagraph"/>
        <w:numPr>
          <w:ilvl w:val="0"/>
          <w:numId w:val="11"/>
        </w:numPr>
        <w:jc w:val="both"/>
        <w:rPr>
          <w:rStyle w:val="cit"/>
          <w:rFonts w:cstheme="minorHAnsi"/>
        </w:rPr>
      </w:pPr>
      <w:r>
        <w:rPr>
          <w:rFonts w:cstheme="minorHAnsi"/>
        </w:rPr>
        <w:t xml:space="preserve">Sampson A, Holgate S. </w:t>
      </w:r>
      <w:r w:rsidRPr="00313D10">
        <w:rPr>
          <w:rFonts w:cstheme="minorHAnsi"/>
        </w:rPr>
        <w:t>Leukotriene modifiers in the treatment of asthma Look promising across the board of asthma severity</w:t>
      </w:r>
      <w:r>
        <w:rPr>
          <w:rFonts w:cstheme="minorHAnsi"/>
        </w:rPr>
        <w:t xml:space="preserve">. </w:t>
      </w:r>
      <w:hyperlink r:id="rId11" w:history="1">
        <w:r w:rsidR="008B519D" w:rsidRPr="00313D10">
          <w:rPr>
            <w:rStyle w:val="Hyperlink"/>
            <w:rFonts w:cstheme="minorHAnsi"/>
            <w:i/>
            <w:iCs/>
            <w:color w:val="auto"/>
            <w:u w:val="none"/>
          </w:rPr>
          <w:t>BMJ</w:t>
        </w:r>
      </w:hyperlink>
      <w:r w:rsidR="008B519D" w:rsidRPr="00313D10">
        <w:rPr>
          <w:rStyle w:val="cit"/>
          <w:rFonts w:cstheme="minorHAnsi"/>
        </w:rPr>
        <w:t xml:space="preserve">. 1998; 316(7140): 1257–1258. </w:t>
      </w:r>
    </w:p>
    <w:p w14:paraId="23C865BF" w14:textId="208B9770" w:rsidR="008B519D" w:rsidRDefault="00313D10" w:rsidP="00313D10">
      <w:pPr>
        <w:pStyle w:val="ListParagraph"/>
        <w:numPr>
          <w:ilvl w:val="0"/>
          <w:numId w:val="11"/>
        </w:numPr>
        <w:jc w:val="both"/>
        <w:rPr>
          <w:rStyle w:val="cit"/>
          <w:rFonts w:cstheme="minorHAnsi"/>
        </w:rPr>
      </w:pPr>
      <w:r>
        <w:rPr>
          <w:rStyle w:val="cit"/>
          <w:rFonts w:cstheme="minorHAnsi"/>
        </w:rPr>
        <w:t xml:space="preserve">Hon KLE, Leung TF, Leung AKC. </w:t>
      </w:r>
      <w:r w:rsidRPr="00313D10">
        <w:rPr>
          <w:rStyle w:val="cit"/>
          <w:rFonts w:cstheme="minorHAnsi"/>
        </w:rPr>
        <w:t>Clinical effectiveness and safety of montelukast in asthma. What are the conclusions from clinical trials and meta-analyses?</w:t>
      </w:r>
      <w:r>
        <w:rPr>
          <w:rStyle w:val="cit"/>
          <w:rFonts w:cstheme="minorHAnsi"/>
        </w:rPr>
        <w:t xml:space="preserve"> </w:t>
      </w:r>
      <w:r w:rsidR="008B519D" w:rsidRPr="00313D10">
        <w:rPr>
          <w:rStyle w:val="cit"/>
          <w:rFonts w:cstheme="minorHAnsi"/>
          <w:i/>
          <w:iCs/>
        </w:rPr>
        <w:t>Drug Des Devel Ther</w:t>
      </w:r>
      <w:r w:rsidR="008B519D" w:rsidRPr="00313D10">
        <w:rPr>
          <w:rStyle w:val="cit"/>
          <w:rFonts w:cstheme="minorHAnsi"/>
        </w:rPr>
        <w:t xml:space="preserve">. 2014; 8: 839–850. </w:t>
      </w:r>
    </w:p>
    <w:p w14:paraId="64833EE2" w14:textId="0BF8D73F" w:rsidR="00313D10" w:rsidRPr="00313D10" w:rsidRDefault="00313D10" w:rsidP="00313D10">
      <w:pPr>
        <w:pStyle w:val="ListParagraph"/>
        <w:numPr>
          <w:ilvl w:val="0"/>
          <w:numId w:val="11"/>
        </w:numPr>
        <w:spacing w:after="0" w:line="240" w:lineRule="auto"/>
        <w:jc w:val="both"/>
        <w:rPr>
          <w:rFonts w:eastAsia="Times New Roman" w:cstheme="minorHAnsi"/>
          <w:color w:val="000000"/>
        </w:rPr>
      </w:pPr>
      <w:r w:rsidRPr="00174DD1">
        <w:rPr>
          <w:rFonts w:cstheme="minorHAnsi"/>
        </w:rPr>
        <w:t xml:space="preserve">A textbook of clinical pharmacology and therapeutics. </w:t>
      </w:r>
    </w:p>
    <w:p w14:paraId="2B8C867A" w14:textId="7ACB4E2E" w:rsidR="00313D10" w:rsidRDefault="00313D10" w:rsidP="00313D10">
      <w:pPr>
        <w:pStyle w:val="ListParagraph"/>
        <w:numPr>
          <w:ilvl w:val="0"/>
          <w:numId w:val="11"/>
        </w:numPr>
        <w:jc w:val="both"/>
      </w:pPr>
      <w:r>
        <w:t>Pharmacology and Pharmacotherapeutics. 24</w:t>
      </w:r>
      <w:r w:rsidRPr="006764B7">
        <w:rPr>
          <w:vertAlign w:val="superscript"/>
        </w:rPr>
        <w:t>th</w:t>
      </w:r>
      <w:r>
        <w:t xml:space="preserve"> edition.</w:t>
      </w:r>
    </w:p>
    <w:p w14:paraId="490FC957" w14:textId="77777777" w:rsidR="00313D10" w:rsidRDefault="00313D10" w:rsidP="00313D10">
      <w:pPr>
        <w:pStyle w:val="ListParagraph"/>
        <w:numPr>
          <w:ilvl w:val="0"/>
          <w:numId w:val="11"/>
        </w:numPr>
        <w:jc w:val="both"/>
      </w:pPr>
      <w:r>
        <w:t>Goodman and Gillman Manual of Pharmacology and Therapeutics.</w:t>
      </w:r>
    </w:p>
    <w:p w14:paraId="7DABF255" w14:textId="77777777" w:rsidR="00313D10" w:rsidRDefault="00313D10" w:rsidP="00313D10">
      <w:pPr>
        <w:pStyle w:val="ListParagraph"/>
        <w:numPr>
          <w:ilvl w:val="0"/>
          <w:numId w:val="11"/>
        </w:numPr>
        <w:jc w:val="both"/>
      </w:pPr>
      <w:r>
        <w:t>Lippincott Illustrated Reviews Pharmacology, 6</w:t>
      </w:r>
      <w:r w:rsidRPr="006764B7">
        <w:rPr>
          <w:vertAlign w:val="superscript"/>
        </w:rPr>
        <w:t>th</w:t>
      </w:r>
      <w:r>
        <w:t xml:space="preserve"> edition.</w:t>
      </w:r>
    </w:p>
    <w:p w14:paraId="263D6746" w14:textId="77777777" w:rsidR="00313D10" w:rsidRPr="00313D10" w:rsidRDefault="00313D10" w:rsidP="00313D10">
      <w:pPr>
        <w:ind w:left="360"/>
        <w:jc w:val="both"/>
        <w:rPr>
          <w:rFonts w:cstheme="minorHAnsi"/>
        </w:rPr>
      </w:pPr>
    </w:p>
    <w:p w14:paraId="5A3CD5E9" w14:textId="77777777" w:rsidR="008B519D" w:rsidRDefault="008B519D" w:rsidP="008B519D">
      <w:pPr>
        <w:rPr>
          <w:rFonts w:ascii="Arial" w:hAnsi="Arial" w:cs="Arial"/>
          <w:color w:val="000000"/>
          <w:sz w:val="20"/>
          <w:szCs w:val="20"/>
        </w:rPr>
      </w:pPr>
    </w:p>
    <w:p w14:paraId="5D9691C1" w14:textId="77777777" w:rsidR="008B519D" w:rsidRDefault="008B519D" w:rsidP="002B1A92">
      <w:pPr>
        <w:rPr>
          <w:rFonts w:ascii="Arial" w:hAnsi="Arial" w:cs="Arial"/>
          <w:color w:val="000000"/>
          <w:sz w:val="20"/>
          <w:szCs w:val="20"/>
        </w:rPr>
      </w:pPr>
    </w:p>
    <w:p w14:paraId="30E6BC0B" w14:textId="77777777" w:rsidR="002B1A92" w:rsidRDefault="002B1A92" w:rsidP="00FA2759">
      <w:pPr>
        <w:rPr>
          <w:rFonts w:ascii="Arial" w:hAnsi="Arial" w:cs="Arial"/>
          <w:color w:val="000000"/>
          <w:sz w:val="20"/>
          <w:szCs w:val="20"/>
        </w:rPr>
      </w:pPr>
    </w:p>
    <w:p w14:paraId="03A89AE0" w14:textId="77777777" w:rsidR="00FA2759" w:rsidRDefault="00FA2759" w:rsidP="00AA621E">
      <w:pPr>
        <w:jc w:val="both"/>
      </w:pPr>
    </w:p>
    <w:sectPr w:rsidR="00FA2759" w:rsidSect="001F51D9">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3074"/>
    <w:multiLevelType w:val="hybridMultilevel"/>
    <w:tmpl w:val="3A6A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E71A5"/>
    <w:multiLevelType w:val="hybridMultilevel"/>
    <w:tmpl w:val="4FD6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1E50"/>
    <w:multiLevelType w:val="hybridMultilevel"/>
    <w:tmpl w:val="74FC6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B10C3"/>
    <w:multiLevelType w:val="hybridMultilevel"/>
    <w:tmpl w:val="4106FA5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185B"/>
    <w:multiLevelType w:val="hybridMultilevel"/>
    <w:tmpl w:val="8182F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30697"/>
    <w:multiLevelType w:val="hybridMultilevel"/>
    <w:tmpl w:val="1572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F72B2"/>
    <w:multiLevelType w:val="hybridMultilevel"/>
    <w:tmpl w:val="BD64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100F3"/>
    <w:multiLevelType w:val="hybridMultilevel"/>
    <w:tmpl w:val="1A40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82C9E"/>
    <w:multiLevelType w:val="hybridMultilevel"/>
    <w:tmpl w:val="BBC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70C55"/>
    <w:multiLevelType w:val="hybridMultilevel"/>
    <w:tmpl w:val="AEE8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C7027"/>
    <w:multiLevelType w:val="hybridMultilevel"/>
    <w:tmpl w:val="F38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53231"/>
    <w:multiLevelType w:val="hybridMultilevel"/>
    <w:tmpl w:val="9FAC2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F31590"/>
    <w:multiLevelType w:val="hybridMultilevel"/>
    <w:tmpl w:val="DA40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9"/>
  </w:num>
  <w:num w:numId="5">
    <w:abstractNumId w:val="0"/>
  </w:num>
  <w:num w:numId="6">
    <w:abstractNumId w:val="8"/>
  </w:num>
  <w:num w:numId="7">
    <w:abstractNumId w:val="11"/>
  </w:num>
  <w:num w:numId="8">
    <w:abstractNumId w:val="5"/>
  </w:num>
  <w:num w:numId="9">
    <w:abstractNumId w:val="6"/>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D3"/>
    <w:rsid w:val="00022205"/>
    <w:rsid w:val="001F51D9"/>
    <w:rsid w:val="002216EB"/>
    <w:rsid w:val="00236AA8"/>
    <w:rsid w:val="002A6894"/>
    <w:rsid w:val="002B1A92"/>
    <w:rsid w:val="00313D10"/>
    <w:rsid w:val="0034590B"/>
    <w:rsid w:val="00383B66"/>
    <w:rsid w:val="00533337"/>
    <w:rsid w:val="006408BF"/>
    <w:rsid w:val="00866AD3"/>
    <w:rsid w:val="008B519D"/>
    <w:rsid w:val="008B5EC2"/>
    <w:rsid w:val="00AA621E"/>
    <w:rsid w:val="00C20080"/>
    <w:rsid w:val="00FA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592E"/>
  <w15:chartTrackingRefBased/>
  <w15:docId w15:val="{AB61BE61-FE29-4304-A906-A52847CE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FA27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B66"/>
    <w:pPr>
      <w:ind w:left="720"/>
      <w:contextualSpacing/>
    </w:pPr>
  </w:style>
  <w:style w:type="table" w:styleId="TableGrid">
    <w:name w:val="Table Grid"/>
    <w:basedOn w:val="TableNormal"/>
    <w:uiPriority w:val="39"/>
    <w:rsid w:val="002A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759"/>
    <w:rPr>
      <w:color w:val="0563C1" w:themeColor="hyperlink"/>
      <w:u w:val="single"/>
    </w:rPr>
  </w:style>
  <w:style w:type="character" w:styleId="UnresolvedMention">
    <w:name w:val="Unresolved Mention"/>
    <w:basedOn w:val="DefaultParagraphFont"/>
    <w:uiPriority w:val="99"/>
    <w:semiHidden/>
    <w:unhideWhenUsed/>
    <w:rsid w:val="00FA2759"/>
    <w:rPr>
      <w:color w:val="605E5C"/>
      <w:shd w:val="clear" w:color="auto" w:fill="E1DFDD"/>
    </w:rPr>
  </w:style>
  <w:style w:type="character" w:customStyle="1" w:styleId="Heading1Char">
    <w:name w:val="Heading 1 Char"/>
    <w:basedOn w:val="DefaultParagraphFont"/>
    <w:link w:val="Heading1"/>
    <w:uiPriority w:val="9"/>
    <w:rsid w:val="00FA2759"/>
    <w:rPr>
      <w:rFonts w:ascii="Times New Roman" w:eastAsia="Times New Roman" w:hAnsi="Times New Roman" w:cs="Times New Roman"/>
      <w:b/>
      <w:bCs/>
      <w:kern w:val="36"/>
      <w:sz w:val="48"/>
      <w:szCs w:val="48"/>
    </w:rPr>
  </w:style>
  <w:style w:type="character" w:customStyle="1" w:styleId="cit">
    <w:name w:val="cit"/>
    <w:basedOn w:val="DefaultParagraphFont"/>
    <w:rsid w:val="00FA2759"/>
  </w:style>
  <w:style w:type="character" w:customStyle="1" w:styleId="fm-vol-iss-date">
    <w:name w:val="fm-vol-iss-date"/>
    <w:basedOn w:val="DefaultParagraphFont"/>
    <w:rsid w:val="00FA2759"/>
  </w:style>
  <w:style w:type="character" w:customStyle="1" w:styleId="doi">
    <w:name w:val="doi"/>
    <w:basedOn w:val="DefaultParagraphFont"/>
    <w:rsid w:val="00FA2759"/>
  </w:style>
  <w:style w:type="character" w:customStyle="1" w:styleId="fm-citation-ids-label">
    <w:name w:val="fm-citation-ids-label"/>
    <w:basedOn w:val="DefaultParagraphFont"/>
    <w:rsid w:val="00FA2759"/>
  </w:style>
  <w:style w:type="character" w:customStyle="1" w:styleId="fm-role">
    <w:name w:val="fm-role"/>
    <w:basedOn w:val="DefaultParagraphFont"/>
    <w:rsid w:val="008B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15517">
      <w:bodyDiv w:val="1"/>
      <w:marLeft w:val="0"/>
      <w:marRight w:val="0"/>
      <w:marTop w:val="0"/>
      <w:marBottom w:val="0"/>
      <w:divBdr>
        <w:top w:val="none" w:sz="0" w:space="0" w:color="auto"/>
        <w:left w:val="none" w:sz="0" w:space="0" w:color="auto"/>
        <w:bottom w:val="none" w:sz="0" w:space="0" w:color="auto"/>
        <w:right w:val="none" w:sz="0" w:space="0" w:color="auto"/>
      </w:divBdr>
      <w:divsChild>
        <w:div w:id="2072381501">
          <w:marLeft w:val="0"/>
          <w:marRight w:val="0"/>
          <w:marTop w:val="0"/>
          <w:marBottom w:val="166"/>
          <w:divBdr>
            <w:top w:val="none" w:sz="0" w:space="0" w:color="auto"/>
            <w:left w:val="none" w:sz="0" w:space="0" w:color="auto"/>
            <w:bottom w:val="none" w:sz="0" w:space="0" w:color="auto"/>
            <w:right w:val="none" w:sz="0" w:space="0" w:color="auto"/>
          </w:divBdr>
          <w:divsChild>
            <w:div w:id="750395737">
              <w:marLeft w:val="0"/>
              <w:marRight w:val="0"/>
              <w:marTop w:val="0"/>
              <w:marBottom w:val="0"/>
              <w:divBdr>
                <w:top w:val="none" w:sz="0" w:space="0" w:color="auto"/>
                <w:left w:val="none" w:sz="0" w:space="0" w:color="auto"/>
                <w:bottom w:val="none" w:sz="0" w:space="0" w:color="auto"/>
                <w:right w:val="none" w:sz="0" w:space="0" w:color="auto"/>
              </w:divBdr>
              <w:divsChild>
                <w:div w:id="2082603309">
                  <w:marLeft w:val="0"/>
                  <w:marRight w:val="0"/>
                  <w:marTop w:val="0"/>
                  <w:marBottom w:val="0"/>
                  <w:divBdr>
                    <w:top w:val="none" w:sz="0" w:space="0" w:color="auto"/>
                    <w:left w:val="none" w:sz="0" w:space="0" w:color="auto"/>
                    <w:bottom w:val="none" w:sz="0" w:space="0" w:color="auto"/>
                    <w:right w:val="none" w:sz="0" w:space="0" w:color="auto"/>
                  </w:divBdr>
                  <w:divsChild>
                    <w:div w:id="465441107">
                      <w:marLeft w:val="0"/>
                      <w:marRight w:val="0"/>
                      <w:marTop w:val="0"/>
                      <w:marBottom w:val="0"/>
                      <w:divBdr>
                        <w:top w:val="none" w:sz="0" w:space="0" w:color="auto"/>
                        <w:left w:val="none" w:sz="0" w:space="0" w:color="auto"/>
                        <w:bottom w:val="none" w:sz="0" w:space="0" w:color="auto"/>
                        <w:right w:val="none" w:sz="0" w:space="0" w:color="auto"/>
                      </w:divBdr>
                    </w:div>
                    <w:div w:id="5494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6190">
              <w:marLeft w:val="0"/>
              <w:marRight w:val="0"/>
              <w:marTop w:val="0"/>
              <w:marBottom w:val="0"/>
              <w:divBdr>
                <w:top w:val="none" w:sz="0" w:space="0" w:color="auto"/>
                <w:left w:val="none" w:sz="0" w:space="0" w:color="auto"/>
                <w:bottom w:val="none" w:sz="0" w:space="0" w:color="auto"/>
                <w:right w:val="none" w:sz="0" w:space="0" w:color="auto"/>
              </w:divBdr>
              <w:divsChild>
                <w:div w:id="1694186729">
                  <w:marLeft w:val="0"/>
                  <w:marRight w:val="0"/>
                  <w:marTop w:val="0"/>
                  <w:marBottom w:val="0"/>
                  <w:divBdr>
                    <w:top w:val="none" w:sz="0" w:space="0" w:color="auto"/>
                    <w:left w:val="none" w:sz="0" w:space="0" w:color="auto"/>
                    <w:bottom w:val="none" w:sz="0" w:space="0" w:color="auto"/>
                    <w:right w:val="none" w:sz="0" w:space="0" w:color="auto"/>
                  </w:divBdr>
                </w:div>
                <w:div w:id="16641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59910">
          <w:marLeft w:val="0"/>
          <w:marRight w:val="0"/>
          <w:marTop w:val="166"/>
          <w:marBottom w:val="166"/>
          <w:divBdr>
            <w:top w:val="none" w:sz="0" w:space="0" w:color="auto"/>
            <w:left w:val="none" w:sz="0" w:space="0" w:color="auto"/>
            <w:bottom w:val="none" w:sz="0" w:space="0" w:color="auto"/>
            <w:right w:val="none" w:sz="0" w:space="0" w:color="auto"/>
          </w:divBdr>
          <w:divsChild>
            <w:div w:id="2752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3534">
      <w:bodyDiv w:val="1"/>
      <w:marLeft w:val="0"/>
      <w:marRight w:val="0"/>
      <w:marTop w:val="0"/>
      <w:marBottom w:val="0"/>
      <w:divBdr>
        <w:top w:val="none" w:sz="0" w:space="0" w:color="auto"/>
        <w:left w:val="none" w:sz="0" w:space="0" w:color="auto"/>
        <w:bottom w:val="none" w:sz="0" w:space="0" w:color="auto"/>
        <w:right w:val="none" w:sz="0" w:space="0" w:color="auto"/>
      </w:divBdr>
      <w:divsChild>
        <w:div w:id="598218730">
          <w:marLeft w:val="0"/>
          <w:marRight w:val="0"/>
          <w:marTop w:val="0"/>
          <w:marBottom w:val="166"/>
          <w:divBdr>
            <w:top w:val="none" w:sz="0" w:space="0" w:color="auto"/>
            <w:left w:val="none" w:sz="0" w:space="0" w:color="auto"/>
            <w:bottom w:val="none" w:sz="0" w:space="0" w:color="auto"/>
            <w:right w:val="none" w:sz="0" w:space="0" w:color="auto"/>
          </w:divBdr>
          <w:divsChild>
            <w:div w:id="923876281">
              <w:marLeft w:val="0"/>
              <w:marRight w:val="0"/>
              <w:marTop w:val="0"/>
              <w:marBottom w:val="0"/>
              <w:divBdr>
                <w:top w:val="none" w:sz="0" w:space="0" w:color="auto"/>
                <w:left w:val="none" w:sz="0" w:space="0" w:color="auto"/>
                <w:bottom w:val="none" w:sz="0" w:space="0" w:color="auto"/>
                <w:right w:val="none" w:sz="0" w:space="0" w:color="auto"/>
              </w:divBdr>
              <w:divsChild>
                <w:div w:id="895360961">
                  <w:marLeft w:val="0"/>
                  <w:marRight w:val="0"/>
                  <w:marTop w:val="0"/>
                  <w:marBottom w:val="0"/>
                  <w:divBdr>
                    <w:top w:val="none" w:sz="0" w:space="0" w:color="auto"/>
                    <w:left w:val="none" w:sz="0" w:space="0" w:color="auto"/>
                    <w:bottom w:val="none" w:sz="0" w:space="0" w:color="auto"/>
                    <w:right w:val="none" w:sz="0" w:space="0" w:color="auto"/>
                  </w:divBdr>
                  <w:divsChild>
                    <w:div w:id="981885544">
                      <w:marLeft w:val="0"/>
                      <w:marRight w:val="0"/>
                      <w:marTop w:val="0"/>
                      <w:marBottom w:val="0"/>
                      <w:divBdr>
                        <w:top w:val="none" w:sz="0" w:space="0" w:color="auto"/>
                        <w:left w:val="none" w:sz="0" w:space="0" w:color="auto"/>
                        <w:bottom w:val="none" w:sz="0" w:space="0" w:color="auto"/>
                        <w:right w:val="none" w:sz="0" w:space="0" w:color="auto"/>
                      </w:divBdr>
                    </w:div>
                    <w:div w:id="12064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8964">
              <w:marLeft w:val="0"/>
              <w:marRight w:val="0"/>
              <w:marTop w:val="0"/>
              <w:marBottom w:val="0"/>
              <w:divBdr>
                <w:top w:val="none" w:sz="0" w:space="0" w:color="auto"/>
                <w:left w:val="none" w:sz="0" w:space="0" w:color="auto"/>
                <w:bottom w:val="none" w:sz="0" w:space="0" w:color="auto"/>
                <w:right w:val="none" w:sz="0" w:space="0" w:color="auto"/>
              </w:divBdr>
              <w:divsChild>
                <w:div w:id="1277564068">
                  <w:marLeft w:val="0"/>
                  <w:marRight w:val="0"/>
                  <w:marTop w:val="0"/>
                  <w:marBottom w:val="0"/>
                  <w:divBdr>
                    <w:top w:val="none" w:sz="0" w:space="0" w:color="auto"/>
                    <w:left w:val="none" w:sz="0" w:space="0" w:color="auto"/>
                    <w:bottom w:val="none" w:sz="0" w:space="0" w:color="auto"/>
                    <w:right w:val="none" w:sz="0" w:space="0" w:color="auto"/>
                  </w:divBdr>
                </w:div>
                <w:div w:id="15386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5483">
          <w:marLeft w:val="0"/>
          <w:marRight w:val="0"/>
          <w:marTop w:val="166"/>
          <w:marBottom w:val="166"/>
          <w:divBdr>
            <w:top w:val="none" w:sz="0" w:space="0" w:color="auto"/>
            <w:left w:val="none" w:sz="0" w:space="0" w:color="auto"/>
            <w:bottom w:val="none" w:sz="0" w:space="0" w:color="auto"/>
            <w:right w:val="none" w:sz="0" w:space="0" w:color="auto"/>
          </w:divBdr>
          <w:divsChild>
            <w:div w:id="2131390559">
              <w:marLeft w:val="0"/>
              <w:marRight w:val="0"/>
              <w:marTop w:val="0"/>
              <w:marBottom w:val="0"/>
              <w:divBdr>
                <w:top w:val="none" w:sz="0" w:space="0" w:color="auto"/>
                <w:left w:val="none" w:sz="0" w:space="0" w:color="auto"/>
                <w:bottom w:val="none" w:sz="0" w:space="0" w:color="auto"/>
                <w:right w:val="none" w:sz="0" w:space="0" w:color="auto"/>
              </w:divBdr>
            </w:div>
          </w:divsChild>
        </w:div>
        <w:div w:id="792551590">
          <w:marLeft w:val="0"/>
          <w:marRight w:val="0"/>
          <w:marTop w:val="166"/>
          <w:marBottom w:val="166"/>
          <w:divBdr>
            <w:top w:val="none" w:sz="0" w:space="0" w:color="auto"/>
            <w:left w:val="none" w:sz="0" w:space="0" w:color="auto"/>
            <w:bottom w:val="none" w:sz="0" w:space="0" w:color="auto"/>
            <w:right w:val="none" w:sz="0" w:space="0" w:color="auto"/>
          </w:divBdr>
          <w:divsChild>
            <w:div w:id="936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2282">
      <w:bodyDiv w:val="1"/>
      <w:marLeft w:val="0"/>
      <w:marRight w:val="0"/>
      <w:marTop w:val="0"/>
      <w:marBottom w:val="0"/>
      <w:divBdr>
        <w:top w:val="none" w:sz="0" w:space="0" w:color="auto"/>
        <w:left w:val="none" w:sz="0" w:space="0" w:color="auto"/>
        <w:bottom w:val="none" w:sz="0" w:space="0" w:color="auto"/>
        <w:right w:val="none" w:sz="0" w:space="0" w:color="auto"/>
      </w:divBdr>
      <w:divsChild>
        <w:div w:id="482044367">
          <w:marLeft w:val="0"/>
          <w:marRight w:val="0"/>
          <w:marTop w:val="0"/>
          <w:marBottom w:val="166"/>
          <w:divBdr>
            <w:top w:val="none" w:sz="0" w:space="0" w:color="auto"/>
            <w:left w:val="none" w:sz="0" w:space="0" w:color="auto"/>
            <w:bottom w:val="none" w:sz="0" w:space="0" w:color="auto"/>
            <w:right w:val="none" w:sz="0" w:space="0" w:color="auto"/>
          </w:divBdr>
          <w:divsChild>
            <w:div w:id="2061516496">
              <w:marLeft w:val="0"/>
              <w:marRight w:val="0"/>
              <w:marTop w:val="0"/>
              <w:marBottom w:val="0"/>
              <w:divBdr>
                <w:top w:val="none" w:sz="0" w:space="0" w:color="auto"/>
                <w:left w:val="none" w:sz="0" w:space="0" w:color="auto"/>
                <w:bottom w:val="none" w:sz="0" w:space="0" w:color="auto"/>
                <w:right w:val="none" w:sz="0" w:space="0" w:color="auto"/>
              </w:divBdr>
              <w:divsChild>
                <w:div w:id="276252997">
                  <w:marLeft w:val="0"/>
                  <w:marRight w:val="0"/>
                  <w:marTop w:val="0"/>
                  <w:marBottom w:val="0"/>
                  <w:divBdr>
                    <w:top w:val="none" w:sz="0" w:space="0" w:color="auto"/>
                    <w:left w:val="none" w:sz="0" w:space="0" w:color="auto"/>
                    <w:bottom w:val="none" w:sz="0" w:space="0" w:color="auto"/>
                    <w:right w:val="none" w:sz="0" w:space="0" w:color="auto"/>
                  </w:divBdr>
                  <w:divsChild>
                    <w:div w:id="1510636317">
                      <w:marLeft w:val="0"/>
                      <w:marRight w:val="0"/>
                      <w:marTop w:val="0"/>
                      <w:marBottom w:val="0"/>
                      <w:divBdr>
                        <w:top w:val="none" w:sz="0" w:space="0" w:color="auto"/>
                        <w:left w:val="none" w:sz="0" w:space="0" w:color="auto"/>
                        <w:bottom w:val="none" w:sz="0" w:space="0" w:color="auto"/>
                        <w:right w:val="none" w:sz="0" w:space="0" w:color="auto"/>
                      </w:divBdr>
                    </w:div>
                    <w:div w:id="864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253">
              <w:marLeft w:val="0"/>
              <w:marRight w:val="0"/>
              <w:marTop w:val="0"/>
              <w:marBottom w:val="0"/>
              <w:divBdr>
                <w:top w:val="none" w:sz="0" w:space="0" w:color="auto"/>
                <w:left w:val="none" w:sz="0" w:space="0" w:color="auto"/>
                <w:bottom w:val="none" w:sz="0" w:space="0" w:color="auto"/>
                <w:right w:val="none" w:sz="0" w:space="0" w:color="auto"/>
              </w:divBdr>
              <w:divsChild>
                <w:div w:id="1081681505">
                  <w:marLeft w:val="0"/>
                  <w:marRight w:val="0"/>
                  <w:marTop w:val="0"/>
                  <w:marBottom w:val="0"/>
                  <w:divBdr>
                    <w:top w:val="none" w:sz="0" w:space="0" w:color="auto"/>
                    <w:left w:val="none" w:sz="0" w:space="0" w:color="auto"/>
                    <w:bottom w:val="none" w:sz="0" w:space="0" w:color="auto"/>
                    <w:right w:val="none" w:sz="0" w:space="0" w:color="auto"/>
                  </w:divBdr>
                </w:div>
                <w:div w:id="20107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7955">
          <w:marLeft w:val="0"/>
          <w:marRight w:val="0"/>
          <w:marTop w:val="166"/>
          <w:marBottom w:val="166"/>
          <w:divBdr>
            <w:top w:val="none" w:sz="0" w:space="0" w:color="auto"/>
            <w:left w:val="none" w:sz="0" w:space="0" w:color="auto"/>
            <w:bottom w:val="none" w:sz="0" w:space="0" w:color="auto"/>
            <w:right w:val="none" w:sz="0" w:space="0" w:color="auto"/>
          </w:divBdr>
          <w:divsChild>
            <w:div w:id="13619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6337">
      <w:bodyDiv w:val="1"/>
      <w:marLeft w:val="0"/>
      <w:marRight w:val="0"/>
      <w:marTop w:val="0"/>
      <w:marBottom w:val="0"/>
      <w:divBdr>
        <w:top w:val="none" w:sz="0" w:space="0" w:color="auto"/>
        <w:left w:val="none" w:sz="0" w:space="0" w:color="auto"/>
        <w:bottom w:val="none" w:sz="0" w:space="0" w:color="auto"/>
        <w:right w:val="none" w:sz="0" w:space="0" w:color="auto"/>
      </w:divBdr>
      <w:divsChild>
        <w:div w:id="420294402">
          <w:marLeft w:val="0"/>
          <w:marRight w:val="0"/>
          <w:marTop w:val="0"/>
          <w:marBottom w:val="166"/>
          <w:divBdr>
            <w:top w:val="none" w:sz="0" w:space="0" w:color="auto"/>
            <w:left w:val="none" w:sz="0" w:space="0" w:color="auto"/>
            <w:bottom w:val="none" w:sz="0" w:space="0" w:color="auto"/>
            <w:right w:val="none" w:sz="0" w:space="0" w:color="auto"/>
          </w:divBdr>
          <w:divsChild>
            <w:div w:id="351999565">
              <w:marLeft w:val="0"/>
              <w:marRight w:val="0"/>
              <w:marTop w:val="0"/>
              <w:marBottom w:val="0"/>
              <w:divBdr>
                <w:top w:val="none" w:sz="0" w:space="0" w:color="auto"/>
                <w:left w:val="none" w:sz="0" w:space="0" w:color="auto"/>
                <w:bottom w:val="none" w:sz="0" w:space="0" w:color="auto"/>
                <w:right w:val="none" w:sz="0" w:space="0" w:color="auto"/>
              </w:divBdr>
              <w:divsChild>
                <w:div w:id="1755587837">
                  <w:marLeft w:val="0"/>
                  <w:marRight w:val="0"/>
                  <w:marTop w:val="0"/>
                  <w:marBottom w:val="0"/>
                  <w:divBdr>
                    <w:top w:val="none" w:sz="0" w:space="0" w:color="auto"/>
                    <w:left w:val="none" w:sz="0" w:space="0" w:color="auto"/>
                    <w:bottom w:val="none" w:sz="0" w:space="0" w:color="auto"/>
                    <w:right w:val="none" w:sz="0" w:space="0" w:color="auto"/>
                  </w:divBdr>
                  <w:divsChild>
                    <w:div w:id="1710521893">
                      <w:marLeft w:val="0"/>
                      <w:marRight w:val="0"/>
                      <w:marTop w:val="0"/>
                      <w:marBottom w:val="0"/>
                      <w:divBdr>
                        <w:top w:val="none" w:sz="0" w:space="0" w:color="auto"/>
                        <w:left w:val="none" w:sz="0" w:space="0" w:color="auto"/>
                        <w:bottom w:val="none" w:sz="0" w:space="0" w:color="auto"/>
                        <w:right w:val="none" w:sz="0" w:space="0" w:color="auto"/>
                      </w:divBdr>
                    </w:div>
                    <w:div w:id="185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8309">
              <w:marLeft w:val="0"/>
              <w:marRight w:val="0"/>
              <w:marTop w:val="0"/>
              <w:marBottom w:val="0"/>
              <w:divBdr>
                <w:top w:val="none" w:sz="0" w:space="0" w:color="auto"/>
                <w:left w:val="none" w:sz="0" w:space="0" w:color="auto"/>
                <w:bottom w:val="none" w:sz="0" w:space="0" w:color="auto"/>
                <w:right w:val="none" w:sz="0" w:space="0" w:color="auto"/>
              </w:divBdr>
              <w:divsChild>
                <w:div w:id="493842063">
                  <w:marLeft w:val="0"/>
                  <w:marRight w:val="0"/>
                  <w:marTop w:val="0"/>
                  <w:marBottom w:val="0"/>
                  <w:divBdr>
                    <w:top w:val="none" w:sz="0" w:space="0" w:color="auto"/>
                    <w:left w:val="none" w:sz="0" w:space="0" w:color="auto"/>
                    <w:bottom w:val="none" w:sz="0" w:space="0" w:color="auto"/>
                    <w:right w:val="none" w:sz="0" w:space="0" w:color="auto"/>
                  </w:divBdr>
                </w:div>
                <w:div w:id="342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992">
          <w:marLeft w:val="0"/>
          <w:marRight w:val="0"/>
          <w:marTop w:val="166"/>
          <w:marBottom w:val="166"/>
          <w:divBdr>
            <w:top w:val="none" w:sz="0" w:space="0" w:color="auto"/>
            <w:left w:val="none" w:sz="0" w:space="0" w:color="auto"/>
            <w:bottom w:val="none" w:sz="0" w:space="0" w:color="auto"/>
            <w:right w:val="none" w:sz="0" w:space="0" w:color="auto"/>
          </w:divBdr>
          <w:divsChild>
            <w:div w:id="2080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163">
      <w:bodyDiv w:val="1"/>
      <w:marLeft w:val="0"/>
      <w:marRight w:val="0"/>
      <w:marTop w:val="0"/>
      <w:marBottom w:val="0"/>
      <w:divBdr>
        <w:top w:val="none" w:sz="0" w:space="0" w:color="auto"/>
        <w:left w:val="none" w:sz="0" w:space="0" w:color="auto"/>
        <w:bottom w:val="none" w:sz="0" w:space="0" w:color="auto"/>
        <w:right w:val="none" w:sz="0" w:space="0" w:color="auto"/>
      </w:divBdr>
      <w:divsChild>
        <w:div w:id="666592048">
          <w:marLeft w:val="0"/>
          <w:marRight w:val="0"/>
          <w:marTop w:val="0"/>
          <w:marBottom w:val="166"/>
          <w:divBdr>
            <w:top w:val="none" w:sz="0" w:space="0" w:color="auto"/>
            <w:left w:val="none" w:sz="0" w:space="0" w:color="auto"/>
            <w:bottom w:val="none" w:sz="0" w:space="0" w:color="auto"/>
            <w:right w:val="none" w:sz="0" w:space="0" w:color="auto"/>
          </w:divBdr>
          <w:divsChild>
            <w:div w:id="725298454">
              <w:marLeft w:val="0"/>
              <w:marRight w:val="0"/>
              <w:marTop w:val="0"/>
              <w:marBottom w:val="0"/>
              <w:divBdr>
                <w:top w:val="none" w:sz="0" w:space="0" w:color="auto"/>
                <w:left w:val="none" w:sz="0" w:space="0" w:color="auto"/>
                <w:bottom w:val="none" w:sz="0" w:space="0" w:color="auto"/>
                <w:right w:val="none" w:sz="0" w:space="0" w:color="auto"/>
              </w:divBdr>
              <w:divsChild>
                <w:div w:id="1123767011">
                  <w:marLeft w:val="0"/>
                  <w:marRight w:val="0"/>
                  <w:marTop w:val="0"/>
                  <w:marBottom w:val="0"/>
                  <w:divBdr>
                    <w:top w:val="none" w:sz="0" w:space="0" w:color="auto"/>
                    <w:left w:val="none" w:sz="0" w:space="0" w:color="auto"/>
                    <w:bottom w:val="none" w:sz="0" w:space="0" w:color="auto"/>
                    <w:right w:val="none" w:sz="0" w:space="0" w:color="auto"/>
                  </w:divBdr>
                </w:div>
                <w:div w:id="1743680069">
                  <w:marLeft w:val="0"/>
                  <w:marRight w:val="0"/>
                  <w:marTop w:val="0"/>
                  <w:marBottom w:val="0"/>
                  <w:divBdr>
                    <w:top w:val="none" w:sz="0" w:space="0" w:color="auto"/>
                    <w:left w:val="none" w:sz="0" w:space="0" w:color="auto"/>
                    <w:bottom w:val="none" w:sz="0" w:space="0" w:color="auto"/>
                    <w:right w:val="none" w:sz="0" w:space="0" w:color="auto"/>
                  </w:divBdr>
                </w:div>
                <w:div w:id="2057780229">
                  <w:marLeft w:val="240"/>
                  <w:marRight w:val="0"/>
                  <w:marTop w:val="0"/>
                  <w:marBottom w:val="0"/>
                  <w:divBdr>
                    <w:top w:val="none" w:sz="0" w:space="0" w:color="auto"/>
                    <w:left w:val="none" w:sz="0" w:space="0" w:color="auto"/>
                    <w:bottom w:val="none" w:sz="0" w:space="0" w:color="auto"/>
                    <w:right w:val="none" w:sz="0" w:space="0" w:color="auto"/>
                  </w:divBdr>
                  <w:divsChild>
                    <w:div w:id="16473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7903">
              <w:marLeft w:val="0"/>
              <w:marRight w:val="0"/>
              <w:marTop w:val="0"/>
              <w:marBottom w:val="0"/>
              <w:divBdr>
                <w:top w:val="none" w:sz="0" w:space="0" w:color="auto"/>
                <w:left w:val="none" w:sz="0" w:space="0" w:color="auto"/>
                <w:bottom w:val="none" w:sz="0" w:space="0" w:color="auto"/>
                <w:right w:val="none" w:sz="0" w:space="0" w:color="auto"/>
              </w:divBdr>
              <w:divsChild>
                <w:div w:id="871266462">
                  <w:marLeft w:val="0"/>
                  <w:marRight w:val="0"/>
                  <w:marTop w:val="0"/>
                  <w:marBottom w:val="0"/>
                  <w:divBdr>
                    <w:top w:val="none" w:sz="0" w:space="0" w:color="auto"/>
                    <w:left w:val="none" w:sz="0" w:space="0" w:color="auto"/>
                    <w:bottom w:val="none" w:sz="0" w:space="0" w:color="auto"/>
                    <w:right w:val="none" w:sz="0" w:space="0" w:color="auto"/>
                  </w:divBdr>
                </w:div>
                <w:div w:id="75592539">
                  <w:marLeft w:val="0"/>
                  <w:marRight w:val="0"/>
                  <w:marTop w:val="0"/>
                  <w:marBottom w:val="0"/>
                  <w:divBdr>
                    <w:top w:val="none" w:sz="0" w:space="0" w:color="auto"/>
                    <w:left w:val="none" w:sz="0" w:space="0" w:color="auto"/>
                    <w:bottom w:val="none" w:sz="0" w:space="0" w:color="auto"/>
                    <w:right w:val="none" w:sz="0" w:space="0" w:color="auto"/>
                  </w:divBdr>
                </w:div>
                <w:div w:id="5565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424">
          <w:marLeft w:val="0"/>
          <w:marRight w:val="0"/>
          <w:marTop w:val="166"/>
          <w:marBottom w:val="166"/>
          <w:divBdr>
            <w:top w:val="none" w:sz="0" w:space="0" w:color="auto"/>
            <w:left w:val="none" w:sz="0" w:space="0" w:color="auto"/>
            <w:bottom w:val="none" w:sz="0" w:space="0" w:color="auto"/>
            <w:right w:val="none" w:sz="0" w:space="0" w:color="auto"/>
          </w:divBdr>
          <w:divsChild>
            <w:div w:id="11443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287706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Leukotrie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cbi.nlm.nih.gov/pmc/articles/PMC1113026/" TargetMode="External"/><Relationship Id="rId5" Type="http://schemas.openxmlformats.org/officeDocument/2006/relationships/image" Target="media/image1.png"/><Relationship Id="rId10" Type="http://schemas.openxmlformats.org/officeDocument/2006/relationships/hyperlink" Target="https://www.ncbi.nlm.nih.gov/entrez/eutils/elink.fcgi?dbfrom=pubmed&amp;retmode=ref&amp;cmd=prlinks&amp;id=26390230" TargetMode="External"/><Relationship Id="rId4" Type="http://schemas.openxmlformats.org/officeDocument/2006/relationships/webSettings" Target="webSettings.xml"/><Relationship Id="rId9" Type="http://schemas.openxmlformats.org/officeDocument/2006/relationships/hyperlink" Target="https://www.ncbi.nlm.nih.gov/pmc/articles/PMC3245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bikas</dc:creator>
  <cp:keywords/>
  <dc:description/>
  <cp:lastModifiedBy>bikas</cp:lastModifiedBy>
  <cp:revision>5</cp:revision>
  <dcterms:created xsi:type="dcterms:W3CDTF">2020-07-20T01:26:00Z</dcterms:created>
  <dcterms:modified xsi:type="dcterms:W3CDTF">2020-07-20T20:28:00Z</dcterms:modified>
</cp:coreProperties>
</file>